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6E9" w:rsidRDefault="00C26E15" w:rsidP="003752B6">
      <w:pPr>
        <w:spacing w:after="0" w:line="288" w:lineRule="atLeast"/>
        <w:outlineLvl w:val="3"/>
        <w:rPr>
          <w:rFonts w:ascii="Verdana" w:eastAsia="Times New Roman" w:hAnsi="Verdana" w:cs="Times New Roman"/>
          <w:b/>
          <w:bCs/>
          <w:color w:val="000000"/>
          <w:sz w:val="28"/>
          <w:szCs w:val="28"/>
          <w:lang w:eastAsia="en-CA"/>
        </w:rPr>
      </w:pPr>
      <w:bookmarkStart w:id="0" w:name="section6"/>
      <w:bookmarkStart w:id="1" w:name="section7"/>
      <w:bookmarkEnd w:id="0"/>
      <w:r w:rsidRPr="00C26E15">
        <w:rPr>
          <w:rFonts w:ascii="Verdana" w:eastAsia="Times New Roman" w:hAnsi="Verdana" w:cs="Times New Roman"/>
          <w:b/>
          <w:bCs/>
          <w:color w:val="000000"/>
          <w:sz w:val="28"/>
          <w:szCs w:val="28"/>
          <w:lang w:eastAsia="en-CA"/>
        </w:rPr>
        <w:t>Wildfire Manag</w:t>
      </w:r>
      <w:r w:rsidR="00DA26E9">
        <w:rPr>
          <w:rFonts w:ascii="Verdana" w:eastAsia="Times New Roman" w:hAnsi="Verdana" w:cs="Times New Roman"/>
          <w:b/>
          <w:bCs/>
          <w:color w:val="000000"/>
          <w:sz w:val="28"/>
          <w:szCs w:val="28"/>
          <w:lang w:eastAsia="en-CA"/>
        </w:rPr>
        <w:t>ement Branch – Forestry Management Leadership Team; North Island/Central Coast Resource District</w:t>
      </w:r>
    </w:p>
    <w:p w:rsidR="00FA0020" w:rsidRPr="00D31363" w:rsidRDefault="004D72F8" w:rsidP="003752B6">
      <w:pPr>
        <w:spacing w:after="0" w:line="288" w:lineRule="atLeast"/>
        <w:outlineLvl w:val="3"/>
        <w:rPr>
          <w:rFonts w:ascii="Verdana" w:eastAsia="Times New Roman" w:hAnsi="Verdana" w:cs="Times New Roman"/>
          <w:b/>
          <w:bCs/>
          <w:color w:val="000000"/>
          <w:sz w:val="28"/>
          <w:szCs w:val="28"/>
          <w:lang w:eastAsia="en-CA"/>
        </w:rPr>
      </w:pPr>
      <w:r>
        <w:rPr>
          <w:rFonts w:ascii="Verdana" w:eastAsia="Times New Roman" w:hAnsi="Verdana" w:cs="Times New Roman"/>
          <w:b/>
          <w:bCs/>
          <w:color w:val="000000"/>
          <w:sz w:val="28"/>
          <w:szCs w:val="28"/>
          <w:lang w:eastAsia="en-CA"/>
        </w:rPr>
        <w:t xml:space="preserve"> </w:t>
      </w:r>
    </w:p>
    <w:p w:rsidR="003752B6" w:rsidRPr="00D31363" w:rsidRDefault="003752B6" w:rsidP="003752B6">
      <w:pPr>
        <w:spacing w:after="0" w:line="288" w:lineRule="atLeast"/>
        <w:outlineLvl w:val="3"/>
        <w:rPr>
          <w:rFonts w:ascii="Verdana" w:eastAsia="Times New Roman" w:hAnsi="Verdana" w:cs="Times New Roman"/>
          <w:b/>
          <w:bCs/>
          <w:color w:val="000000"/>
          <w:sz w:val="28"/>
          <w:szCs w:val="28"/>
          <w:u w:val="single"/>
          <w:lang w:eastAsia="en-CA"/>
        </w:rPr>
      </w:pPr>
      <w:r w:rsidRPr="00D31363">
        <w:rPr>
          <w:rFonts w:ascii="Verdana" w:eastAsia="Times New Roman" w:hAnsi="Verdana" w:cs="Times New Roman"/>
          <w:b/>
          <w:bCs/>
          <w:color w:val="000000"/>
          <w:sz w:val="28"/>
          <w:szCs w:val="28"/>
          <w:u w:val="single"/>
          <w:lang w:eastAsia="en-CA"/>
        </w:rPr>
        <w:t xml:space="preserve">HAZARD </w:t>
      </w:r>
      <w:r w:rsidR="004D72F8">
        <w:rPr>
          <w:rFonts w:ascii="Verdana" w:eastAsia="Times New Roman" w:hAnsi="Verdana" w:cs="Times New Roman"/>
          <w:b/>
          <w:bCs/>
          <w:color w:val="000000"/>
          <w:sz w:val="28"/>
          <w:szCs w:val="28"/>
          <w:u w:val="single"/>
          <w:lang w:eastAsia="en-CA"/>
        </w:rPr>
        <w:t xml:space="preserve">ASSESSMENT PRESENTATION </w:t>
      </w:r>
      <w:proofErr w:type="gramStart"/>
      <w:r w:rsidR="004D72F8">
        <w:rPr>
          <w:rFonts w:ascii="Verdana" w:eastAsia="Times New Roman" w:hAnsi="Verdana" w:cs="Times New Roman"/>
          <w:b/>
          <w:bCs/>
          <w:color w:val="000000"/>
          <w:sz w:val="28"/>
          <w:szCs w:val="28"/>
          <w:u w:val="single"/>
          <w:lang w:eastAsia="en-CA"/>
        </w:rPr>
        <w:t>–  OCT</w:t>
      </w:r>
      <w:proofErr w:type="gramEnd"/>
      <w:r w:rsidR="004D72F8">
        <w:rPr>
          <w:rFonts w:ascii="Verdana" w:eastAsia="Times New Roman" w:hAnsi="Verdana" w:cs="Times New Roman"/>
          <w:b/>
          <w:bCs/>
          <w:color w:val="000000"/>
          <w:sz w:val="28"/>
          <w:szCs w:val="28"/>
          <w:u w:val="single"/>
          <w:lang w:eastAsia="en-CA"/>
        </w:rPr>
        <w:t>. 2</w:t>
      </w:r>
      <w:r w:rsidR="00B90623" w:rsidRPr="00D31363">
        <w:rPr>
          <w:rFonts w:ascii="Verdana" w:eastAsia="Times New Roman" w:hAnsi="Verdana" w:cs="Times New Roman"/>
          <w:b/>
          <w:bCs/>
          <w:color w:val="000000"/>
          <w:sz w:val="28"/>
          <w:szCs w:val="28"/>
          <w:u w:val="single"/>
          <w:lang w:eastAsia="en-CA"/>
        </w:rPr>
        <w:t>2</w:t>
      </w:r>
      <w:r w:rsidR="003F0D5C" w:rsidRPr="00D31363">
        <w:rPr>
          <w:rFonts w:ascii="Verdana" w:eastAsia="Times New Roman" w:hAnsi="Verdana" w:cs="Times New Roman"/>
          <w:b/>
          <w:bCs/>
          <w:color w:val="000000"/>
          <w:sz w:val="28"/>
          <w:szCs w:val="28"/>
          <w:u w:val="single"/>
          <w:lang w:eastAsia="en-CA"/>
        </w:rPr>
        <w:t>, 2013</w:t>
      </w:r>
    </w:p>
    <w:p w:rsidR="00FA0020" w:rsidRPr="00D31363" w:rsidRDefault="00FA0020" w:rsidP="003752B6">
      <w:pPr>
        <w:spacing w:after="0" w:line="288" w:lineRule="atLeast"/>
        <w:outlineLvl w:val="3"/>
        <w:rPr>
          <w:rFonts w:ascii="Verdana" w:eastAsia="Times New Roman" w:hAnsi="Verdana" w:cs="Times New Roman"/>
          <w:bCs/>
          <w:color w:val="000000"/>
          <w:sz w:val="24"/>
          <w:szCs w:val="24"/>
          <w:lang w:eastAsia="en-CA"/>
        </w:rPr>
      </w:pPr>
    </w:p>
    <w:p w:rsidR="007362CD" w:rsidRPr="00D31363" w:rsidRDefault="007362CD" w:rsidP="003752B6">
      <w:pPr>
        <w:spacing w:after="0" w:line="288" w:lineRule="atLeast"/>
        <w:outlineLvl w:val="3"/>
        <w:rPr>
          <w:rFonts w:ascii="Verdana" w:eastAsia="Times New Roman" w:hAnsi="Verdana" w:cs="Times New Roman"/>
          <w:bCs/>
          <w:color w:val="000000"/>
          <w:sz w:val="24"/>
          <w:szCs w:val="24"/>
          <w:lang w:eastAsia="en-CA"/>
        </w:rPr>
      </w:pPr>
      <w:r w:rsidRPr="00D31363">
        <w:rPr>
          <w:rFonts w:ascii="Verdana" w:eastAsia="Times New Roman" w:hAnsi="Verdana" w:cs="Times New Roman"/>
          <w:bCs/>
          <w:color w:val="000000"/>
          <w:sz w:val="24"/>
          <w:szCs w:val="24"/>
          <w:lang w:eastAsia="en-CA"/>
        </w:rPr>
        <w:t>This document is intended to provide overview refresher materi</w:t>
      </w:r>
      <w:r w:rsidR="00634187" w:rsidRPr="00D31363">
        <w:rPr>
          <w:rFonts w:ascii="Verdana" w:eastAsia="Times New Roman" w:hAnsi="Verdana" w:cs="Times New Roman"/>
          <w:bCs/>
          <w:color w:val="000000"/>
          <w:sz w:val="24"/>
          <w:szCs w:val="24"/>
          <w:lang w:eastAsia="en-CA"/>
        </w:rPr>
        <w:t>a</w:t>
      </w:r>
      <w:r w:rsidR="00B70334">
        <w:rPr>
          <w:rFonts w:ascii="Verdana" w:eastAsia="Times New Roman" w:hAnsi="Verdana" w:cs="Times New Roman"/>
          <w:bCs/>
          <w:color w:val="000000"/>
          <w:sz w:val="24"/>
          <w:szCs w:val="24"/>
          <w:lang w:eastAsia="en-CA"/>
        </w:rPr>
        <w:t xml:space="preserve">l and relevant information for review in preparation for a hazard </w:t>
      </w:r>
      <w:r w:rsidR="004D72F8">
        <w:rPr>
          <w:rFonts w:ascii="Verdana" w:eastAsia="Times New Roman" w:hAnsi="Verdana" w:cs="Times New Roman"/>
          <w:bCs/>
          <w:color w:val="000000"/>
          <w:sz w:val="24"/>
          <w:szCs w:val="24"/>
          <w:lang w:eastAsia="en-CA"/>
        </w:rPr>
        <w:t>assessment and abatement presentation scheduled for 09:30, October 2</w:t>
      </w:r>
      <w:r w:rsidR="00B70334">
        <w:rPr>
          <w:rFonts w:ascii="Verdana" w:eastAsia="Times New Roman" w:hAnsi="Verdana" w:cs="Times New Roman"/>
          <w:bCs/>
          <w:color w:val="000000"/>
          <w:sz w:val="24"/>
          <w:szCs w:val="24"/>
          <w:lang w:eastAsia="en-CA"/>
        </w:rPr>
        <w:t>2, 2013</w:t>
      </w:r>
      <w:r w:rsidR="004D72F8">
        <w:rPr>
          <w:rFonts w:ascii="Verdana" w:eastAsia="Times New Roman" w:hAnsi="Verdana" w:cs="Times New Roman"/>
          <w:bCs/>
          <w:color w:val="000000"/>
          <w:sz w:val="24"/>
          <w:szCs w:val="24"/>
          <w:lang w:eastAsia="en-CA"/>
        </w:rPr>
        <w:t xml:space="preserve"> with the Forestry Management leadership Team (north island/central coast)</w:t>
      </w:r>
      <w:r w:rsidR="00B70334">
        <w:rPr>
          <w:rFonts w:ascii="Verdana" w:eastAsia="Times New Roman" w:hAnsi="Verdana" w:cs="Times New Roman"/>
          <w:bCs/>
          <w:color w:val="000000"/>
          <w:sz w:val="24"/>
          <w:szCs w:val="24"/>
          <w:lang w:eastAsia="en-CA"/>
        </w:rPr>
        <w:t>. It deals primarily with hazard assessment. Options for abatement and best practices will</w:t>
      </w:r>
      <w:r w:rsidR="004D72F8">
        <w:rPr>
          <w:rFonts w:ascii="Verdana" w:eastAsia="Times New Roman" w:hAnsi="Verdana" w:cs="Times New Roman"/>
          <w:bCs/>
          <w:color w:val="000000"/>
          <w:sz w:val="24"/>
          <w:szCs w:val="24"/>
          <w:lang w:eastAsia="en-CA"/>
        </w:rPr>
        <w:t xml:space="preserve"> be discussed during the presentation</w:t>
      </w:r>
      <w:r w:rsidR="00B70334">
        <w:rPr>
          <w:rFonts w:ascii="Verdana" w:eastAsia="Times New Roman" w:hAnsi="Verdana" w:cs="Times New Roman"/>
          <w:bCs/>
          <w:color w:val="000000"/>
          <w:sz w:val="24"/>
          <w:szCs w:val="24"/>
          <w:lang w:eastAsia="en-CA"/>
        </w:rPr>
        <w:t>. This document is not comprehensive, exhaustive, nor is it intended as legal advice. We strongly recommend your own close and careful review of the legislation to ensure that you are complying with the obligations and responsibilities set out.</w:t>
      </w:r>
    </w:p>
    <w:p w:rsidR="003C15C9" w:rsidRPr="00D31363" w:rsidRDefault="00B70334" w:rsidP="003752B6">
      <w:pPr>
        <w:spacing w:before="360" w:after="0" w:line="288" w:lineRule="atLeast"/>
        <w:outlineLvl w:val="3"/>
        <w:rPr>
          <w:rFonts w:ascii="Verdana" w:eastAsia="Times New Roman" w:hAnsi="Verdana" w:cs="Times New Roman"/>
          <w:bCs/>
          <w:color w:val="000000"/>
          <w:sz w:val="24"/>
          <w:szCs w:val="24"/>
          <w:lang w:eastAsia="en-CA"/>
        </w:rPr>
      </w:pPr>
      <w:r>
        <w:rPr>
          <w:rFonts w:ascii="Verdana" w:eastAsia="Times New Roman" w:hAnsi="Verdana" w:cs="Times New Roman"/>
          <w:bCs/>
          <w:color w:val="000000"/>
          <w:sz w:val="24"/>
          <w:szCs w:val="24"/>
          <w:lang w:eastAsia="en-CA"/>
        </w:rPr>
        <w:t>This document contains;</w:t>
      </w:r>
    </w:p>
    <w:p w:rsidR="003C15C9" w:rsidRPr="00D31363" w:rsidRDefault="00B70334" w:rsidP="003C15C9">
      <w:pPr>
        <w:pStyle w:val="ListParagraph"/>
        <w:numPr>
          <w:ilvl w:val="0"/>
          <w:numId w:val="3"/>
        </w:numPr>
        <w:spacing w:before="360" w:after="0" w:line="288" w:lineRule="atLeast"/>
        <w:outlineLvl w:val="3"/>
        <w:rPr>
          <w:rFonts w:ascii="Verdana" w:eastAsia="Times New Roman" w:hAnsi="Verdana" w:cs="Times New Roman"/>
          <w:bCs/>
          <w:color w:val="000000"/>
          <w:sz w:val="24"/>
          <w:szCs w:val="24"/>
          <w:lang w:eastAsia="en-CA"/>
        </w:rPr>
      </w:pPr>
      <w:r>
        <w:rPr>
          <w:rFonts w:ascii="Verdana" w:eastAsia="Times New Roman" w:hAnsi="Verdana" w:cs="Times New Roman"/>
          <w:bCs/>
          <w:color w:val="000000"/>
          <w:sz w:val="24"/>
          <w:szCs w:val="24"/>
          <w:lang w:eastAsia="en-CA"/>
        </w:rPr>
        <w:t>Relevant guidance and information respecting hazard assessment and abatement in accordance with the Wildfire Act and Regulation, and other overarching themes</w:t>
      </w:r>
    </w:p>
    <w:p w:rsidR="003C15C9" w:rsidRPr="00D31363" w:rsidRDefault="00B70334" w:rsidP="003C15C9">
      <w:pPr>
        <w:pStyle w:val="ListParagraph"/>
        <w:numPr>
          <w:ilvl w:val="0"/>
          <w:numId w:val="3"/>
        </w:numPr>
        <w:spacing w:before="360" w:after="0" w:line="288" w:lineRule="atLeast"/>
        <w:outlineLvl w:val="3"/>
        <w:rPr>
          <w:rFonts w:ascii="Verdana" w:eastAsia="Times New Roman" w:hAnsi="Verdana" w:cs="Times New Roman"/>
          <w:bCs/>
          <w:color w:val="000000"/>
          <w:sz w:val="24"/>
          <w:szCs w:val="24"/>
          <w:lang w:eastAsia="en-CA"/>
        </w:rPr>
      </w:pPr>
      <w:r>
        <w:rPr>
          <w:rFonts w:ascii="Verdana" w:eastAsia="Times New Roman" w:hAnsi="Verdana" w:cs="Times New Roman"/>
          <w:bCs/>
          <w:color w:val="000000"/>
          <w:sz w:val="24"/>
          <w:szCs w:val="24"/>
          <w:lang w:eastAsia="en-CA"/>
        </w:rPr>
        <w:t>Relevant sections of the Wildfire Act and Regulation.</w:t>
      </w:r>
    </w:p>
    <w:p w:rsidR="003C15C9" w:rsidRPr="00D31363" w:rsidRDefault="00B70334" w:rsidP="003C15C9">
      <w:pPr>
        <w:pStyle w:val="ListParagraph"/>
        <w:numPr>
          <w:ilvl w:val="0"/>
          <w:numId w:val="3"/>
        </w:numPr>
        <w:spacing w:before="360" w:after="0" w:line="288" w:lineRule="atLeast"/>
        <w:outlineLvl w:val="3"/>
        <w:rPr>
          <w:rFonts w:ascii="Verdana" w:eastAsia="Times New Roman" w:hAnsi="Verdana" w:cs="Times New Roman"/>
          <w:bCs/>
          <w:color w:val="000000"/>
          <w:sz w:val="24"/>
          <w:szCs w:val="24"/>
          <w:lang w:eastAsia="en-CA"/>
        </w:rPr>
      </w:pPr>
      <w:r>
        <w:rPr>
          <w:rFonts w:ascii="Verdana" w:eastAsia="Times New Roman" w:hAnsi="Verdana" w:cs="Times New Roman"/>
          <w:bCs/>
          <w:color w:val="000000"/>
          <w:sz w:val="24"/>
          <w:szCs w:val="24"/>
          <w:lang w:eastAsia="en-CA"/>
        </w:rPr>
        <w:t>Relevant links to guidance documents and other reports</w:t>
      </w:r>
    </w:p>
    <w:p w:rsidR="003C15C9" w:rsidRPr="00D31363" w:rsidRDefault="00B70334" w:rsidP="003C15C9">
      <w:p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
          <w:bCs/>
          <w:color w:val="000000"/>
          <w:sz w:val="28"/>
          <w:szCs w:val="28"/>
          <w:u w:val="single"/>
          <w:lang w:eastAsia="en-CA"/>
        </w:rPr>
        <w:t>Abbreviated Guidance re: Wildfire Act, Wildfire Regulation and overarching themes</w:t>
      </w:r>
    </w:p>
    <w:p w:rsidR="003C15C9" w:rsidRPr="00D31363" w:rsidRDefault="00B70334" w:rsidP="003C15C9">
      <w:pPr>
        <w:pStyle w:val="ListParagraph"/>
        <w:numPr>
          <w:ilvl w:val="0"/>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The Wildfire Regulation (WR) is subordinate legislation made under the authority of the Wildfire Act (WA). It provides details, direction and responsibilities to support the WA.</w:t>
      </w:r>
    </w:p>
    <w:p w:rsidR="007B18F9" w:rsidRPr="00D31363" w:rsidRDefault="00B70334" w:rsidP="003C15C9">
      <w:pPr>
        <w:pStyle w:val="ListParagraph"/>
        <w:numPr>
          <w:ilvl w:val="0"/>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The WA and WR are results-based and are intended to incorporate the concept of professional reliance;</w:t>
      </w:r>
    </w:p>
    <w:p w:rsidR="00B6255B" w:rsidRPr="00D31363" w:rsidRDefault="00B70334" w:rsidP="00000888">
      <w:pPr>
        <w:pStyle w:val="ListParagraph"/>
        <w:numPr>
          <w:ilvl w:val="0"/>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We recommend using common sense, best science and best practices when completing hazard assessments and abatement prescriptions</w:t>
      </w:r>
    </w:p>
    <w:p w:rsidR="000A3FFF" w:rsidRPr="00D31363" w:rsidRDefault="00B70334" w:rsidP="003C15C9">
      <w:pPr>
        <w:pStyle w:val="ListParagraph"/>
        <w:numPr>
          <w:ilvl w:val="0"/>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 xml:space="preserve">WR states that </w:t>
      </w:r>
      <w:r w:rsidR="00C26E15" w:rsidRPr="00C26E15">
        <w:rPr>
          <w:rFonts w:ascii="Verdana" w:eastAsia="Times New Roman" w:hAnsi="Verdana" w:cs="Times New Roman"/>
          <w:b/>
          <w:bCs/>
          <w:color w:val="000000"/>
          <w:sz w:val="24"/>
          <w:szCs w:val="24"/>
          <w:lang w:eastAsia="en-CA"/>
        </w:rPr>
        <w:t>hazard assessment</w:t>
      </w:r>
      <w:r w:rsidR="000A3FFF" w:rsidRPr="00D31363">
        <w:rPr>
          <w:rFonts w:ascii="Verdana" w:eastAsia="Times New Roman" w:hAnsi="Verdana" w:cs="Times New Roman"/>
          <w:bCs/>
          <w:color w:val="000000"/>
          <w:sz w:val="24"/>
          <w:szCs w:val="24"/>
          <w:lang w:eastAsia="en-CA"/>
        </w:rPr>
        <w:t xml:space="preserve"> must be completed;</w:t>
      </w:r>
    </w:p>
    <w:p w:rsidR="000A3FFF" w:rsidRPr="00D31363" w:rsidRDefault="000A3FFF" w:rsidP="000A3FFF">
      <w:pPr>
        <w:pStyle w:val="ListParagraph"/>
        <w:numPr>
          <w:ilvl w:val="1"/>
          <w:numId w:val="4"/>
        </w:numPr>
        <w:spacing w:before="360" w:after="0" w:line="288" w:lineRule="atLeast"/>
        <w:outlineLvl w:val="3"/>
        <w:rPr>
          <w:rFonts w:ascii="Verdana" w:eastAsia="Times New Roman" w:hAnsi="Verdana" w:cs="Times New Roman"/>
          <w:b/>
          <w:bCs/>
          <w:color w:val="000000"/>
          <w:sz w:val="28"/>
          <w:szCs w:val="28"/>
          <w:u w:val="single"/>
          <w:lang w:eastAsia="en-CA"/>
        </w:rPr>
      </w:pPr>
      <w:r w:rsidRPr="00D31363">
        <w:rPr>
          <w:rFonts w:ascii="Verdana" w:eastAsia="Times New Roman" w:hAnsi="Verdana" w:cs="Times New Roman"/>
          <w:bCs/>
          <w:color w:val="000000"/>
          <w:sz w:val="24"/>
          <w:szCs w:val="24"/>
          <w:lang w:eastAsia="en-CA"/>
        </w:rPr>
        <w:t>Every 3 months while operating within, or within 2 km, of local government boundaries as defined in the WA</w:t>
      </w:r>
      <w:r w:rsidR="006E57A6" w:rsidRPr="00D31363">
        <w:rPr>
          <w:rFonts w:ascii="Verdana" w:eastAsia="Times New Roman" w:hAnsi="Verdana" w:cs="Times New Roman"/>
          <w:bCs/>
          <w:color w:val="000000"/>
          <w:sz w:val="24"/>
          <w:szCs w:val="24"/>
          <w:lang w:eastAsia="en-CA"/>
        </w:rPr>
        <w:t xml:space="preserve"> (Interface)</w:t>
      </w:r>
      <w:r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color w:val="000000"/>
          <w:sz w:val="24"/>
          <w:szCs w:val="24"/>
          <w:lang w:eastAsia="en-CA"/>
        </w:rPr>
        <w:t>–</w:t>
      </w:r>
      <w:r w:rsidR="00B70334">
        <w:rPr>
          <w:rFonts w:ascii="Verdana" w:eastAsia="Times New Roman" w:hAnsi="Verdana" w:cs="Times New Roman"/>
          <w:bCs/>
          <w:i/>
          <w:color w:val="000000"/>
          <w:sz w:val="24"/>
          <w:szCs w:val="24"/>
          <w:lang w:eastAsia="en-CA"/>
        </w:rPr>
        <w:t xml:space="preserve"> WR 11(2)</w:t>
      </w:r>
    </w:p>
    <w:p w:rsidR="004F38DA" w:rsidRPr="00D31363" w:rsidRDefault="00B70334" w:rsidP="004F38DA">
      <w:pPr>
        <w:pStyle w:val="ListParagraph"/>
        <w:numPr>
          <w:ilvl w:val="1"/>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 xml:space="preserve">Every 6 months everywhere else – </w:t>
      </w:r>
      <w:r>
        <w:rPr>
          <w:rFonts w:ascii="Verdana" w:eastAsia="Times New Roman" w:hAnsi="Verdana" w:cs="Times New Roman"/>
          <w:bCs/>
          <w:i/>
          <w:color w:val="000000"/>
          <w:sz w:val="24"/>
          <w:szCs w:val="24"/>
          <w:lang w:eastAsia="en-CA"/>
        </w:rPr>
        <w:t>WR 11(3)</w:t>
      </w:r>
    </w:p>
    <w:p w:rsidR="00B448F2" w:rsidRPr="00D31363" w:rsidRDefault="00C26E15" w:rsidP="004F38DA">
      <w:pPr>
        <w:pStyle w:val="ListParagraph"/>
        <w:numPr>
          <w:ilvl w:val="1"/>
          <w:numId w:val="4"/>
        </w:numPr>
        <w:spacing w:before="360" w:after="0" w:line="288" w:lineRule="atLeast"/>
        <w:outlineLvl w:val="3"/>
        <w:rPr>
          <w:rFonts w:ascii="Verdana" w:eastAsia="Times New Roman" w:hAnsi="Verdana" w:cs="Times New Roman"/>
          <w:b/>
          <w:bCs/>
          <w:color w:val="000000"/>
          <w:sz w:val="28"/>
          <w:szCs w:val="28"/>
          <w:u w:val="single"/>
          <w:lang w:eastAsia="en-CA"/>
        </w:rPr>
      </w:pPr>
      <w:r w:rsidRPr="00C26E15">
        <w:rPr>
          <w:rFonts w:ascii="Verdana" w:eastAsia="Times New Roman" w:hAnsi="Verdana" w:cs="Times New Roman"/>
          <w:b/>
          <w:bCs/>
          <w:color w:val="000000"/>
          <w:sz w:val="24"/>
          <w:szCs w:val="24"/>
          <w:lang w:eastAsia="en-CA"/>
        </w:rPr>
        <w:t>Option for qualified holder</w:t>
      </w:r>
      <w:r w:rsidR="00B448F2" w:rsidRPr="00D31363">
        <w:rPr>
          <w:rFonts w:ascii="Verdana" w:eastAsia="Times New Roman" w:hAnsi="Verdana" w:cs="Times New Roman"/>
          <w:bCs/>
          <w:color w:val="000000"/>
          <w:sz w:val="24"/>
          <w:szCs w:val="24"/>
          <w:lang w:eastAsia="en-CA"/>
        </w:rPr>
        <w:t xml:space="preserve"> to complete assessments as specified by an RPF or RFT</w:t>
      </w:r>
      <w:r w:rsidR="00665A60" w:rsidRPr="00D31363">
        <w:rPr>
          <w:rFonts w:ascii="Verdana" w:eastAsia="Times New Roman" w:hAnsi="Verdana" w:cs="Times New Roman"/>
          <w:bCs/>
          <w:color w:val="000000"/>
          <w:sz w:val="24"/>
          <w:szCs w:val="24"/>
          <w:lang w:eastAsia="en-CA"/>
        </w:rPr>
        <w:t xml:space="preserve"> (rationale required)</w:t>
      </w:r>
      <w:r w:rsidR="007F568B" w:rsidRPr="00D31363">
        <w:rPr>
          <w:rFonts w:ascii="Verdana" w:eastAsia="Times New Roman" w:hAnsi="Verdana" w:cs="Times New Roman"/>
          <w:bCs/>
          <w:color w:val="000000"/>
          <w:sz w:val="24"/>
          <w:szCs w:val="24"/>
          <w:lang w:eastAsia="en-CA"/>
        </w:rPr>
        <w:t xml:space="preserve"> </w:t>
      </w:r>
      <w:r w:rsidR="000D5840"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i/>
          <w:color w:val="000000"/>
          <w:sz w:val="24"/>
          <w:szCs w:val="24"/>
          <w:lang w:eastAsia="en-CA"/>
        </w:rPr>
        <w:t xml:space="preserve">WR </w:t>
      </w:r>
      <w:r w:rsidR="000D5840" w:rsidRPr="00D31363">
        <w:rPr>
          <w:rFonts w:ascii="Verdana" w:eastAsia="Times New Roman" w:hAnsi="Verdana" w:cs="Times New Roman"/>
          <w:bCs/>
          <w:i/>
          <w:color w:val="000000"/>
          <w:sz w:val="24"/>
          <w:szCs w:val="24"/>
          <w:lang w:eastAsia="en-CA"/>
        </w:rPr>
        <w:t>11(</w:t>
      </w:r>
      <w:r w:rsidR="007F568B" w:rsidRPr="00D31363">
        <w:rPr>
          <w:rFonts w:ascii="Verdana" w:eastAsia="Times New Roman" w:hAnsi="Verdana" w:cs="Times New Roman"/>
          <w:bCs/>
          <w:i/>
          <w:color w:val="000000"/>
          <w:sz w:val="24"/>
          <w:szCs w:val="24"/>
          <w:lang w:eastAsia="en-CA"/>
        </w:rPr>
        <w:t>3.1</w:t>
      </w:r>
      <w:r w:rsidR="00B70334">
        <w:rPr>
          <w:rFonts w:ascii="Verdana" w:eastAsia="Times New Roman" w:hAnsi="Verdana" w:cs="Times New Roman"/>
          <w:bCs/>
          <w:i/>
          <w:color w:val="000000"/>
          <w:sz w:val="24"/>
          <w:szCs w:val="24"/>
          <w:lang w:eastAsia="en-CA"/>
        </w:rPr>
        <w:t>)(b)</w:t>
      </w:r>
    </w:p>
    <w:p w:rsidR="006E57A6" w:rsidRPr="00D31363" w:rsidRDefault="00C26E15" w:rsidP="004F38DA">
      <w:pPr>
        <w:pStyle w:val="ListParagraph"/>
        <w:numPr>
          <w:ilvl w:val="0"/>
          <w:numId w:val="4"/>
        </w:numPr>
        <w:spacing w:before="360" w:after="0" w:line="288" w:lineRule="atLeast"/>
        <w:outlineLvl w:val="3"/>
        <w:rPr>
          <w:rFonts w:ascii="Verdana" w:eastAsia="Times New Roman" w:hAnsi="Verdana" w:cs="Times New Roman"/>
          <w:bCs/>
          <w:color w:val="000000"/>
          <w:sz w:val="28"/>
          <w:szCs w:val="28"/>
          <w:lang w:eastAsia="en-CA"/>
        </w:rPr>
      </w:pPr>
      <w:r w:rsidRPr="00C26E15">
        <w:rPr>
          <w:rFonts w:ascii="Verdana" w:eastAsia="Times New Roman" w:hAnsi="Verdana" w:cs="Times New Roman"/>
          <w:b/>
          <w:bCs/>
          <w:color w:val="000000"/>
          <w:sz w:val="24"/>
          <w:szCs w:val="24"/>
          <w:lang w:eastAsia="en-CA"/>
        </w:rPr>
        <w:lastRenderedPageBreak/>
        <w:t>Hazard Abatement:  General</w:t>
      </w:r>
      <w:r w:rsidR="0055284D" w:rsidRPr="00D31363">
        <w:rPr>
          <w:rFonts w:ascii="Verdana" w:eastAsia="Times New Roman" w:hAnsi="Verdana" w:cs="Times New Roman"/>
          <w:bCs/>
          <w:color w:val="000000"/>
          <w:sz w:val="24"/>
          <w:szCs w:val="24"/>
          <w:lang w:eastAsia="en-CA"/>
        </w:rPr>
        <w:t xml:space="preserve">: </w:t>
      </w:r>
      <w:r w:rsidR="006E57A6" w:rsidRPr="00D31363">
        <w:rPr>
          <w:rFonts w:ascii="Verdana" w:eastAsia="Times New Roman" w:hAnsi="Verdana" w:cs="Times New Roman"/>
          <w:bCs/>
          <w:color w:val="000000"/>
          <w:sz w:val="24"/>
          <w:szCs w:val="24"/>
          <w:lang w:eastAsia="en-CA"/>
        </w:rPr>
        <w:t>WR s</w:t>
      </w:r>
      <w:r w:rsidR="00B448F2" w:rsidRPr="00D31363">
        <w:rPr>
          <w:rFonts w:ascii="Verdana" w:eastAsia="Times New Roman" w:hAnsi="Verdana" w:cs="Times New Roman"/>
          <w:bCs/>
          <w:color w:val="000000"/>
          <w:sz w:val="24"/>
          <w:szCs w:val="24"/>
          <w:lang w:eastAsia="en-CA"/>
        </w:rPr>
        <w:t>tates persons must abate hazard</w:t>
      </w:r>
      <w:r w:rsidR="006E57A6" w:rsidRPr="00D31363">
        <w:rPr>
          <w:rFonts w:ascii="Verdana" w:eastAsia="Times New Roman" w:hAnsi="Verdana" w:cs="Times New Roman"/>
          <w:bCs/>
          <w:color w:val="000000"/>
          <w:sz w:val="24"/>
          <w:szCs w:val="24"/>
          <w:lang w:eastAsia="en-CA"/>
        </w:rPr>
        <w:t xml:space="preserve">; </w:t>
      </w:r>
    </w:p>
    <w:p w:rsidR="006E57A6" w:rsidRPr="00D31363" w:rsidRDefault="00B448F2" w:rsidP="006E57A6">
      <w:pPr>
        <w:pStyle w:val="ListParagraph"/>
        <w:numPr>
          <w:ilvl w:val="1"/>
          <w:numId w:val="4"/>
        </w:numPr>
        <w:spacing w:before="360" w:after="0" w:line="288" w:lineRule="atLeast"/>
        <w:outlineLvl w:val="3"/>
        <w:rPr>
          <w:rFonts w:ascii="Verdana" w:eastAsia="Times New Roman" w:hAnsi="Verdana" w:cs="Times New Roman"/>
          <w:bCs/>
          <w:color w:val="000000"/>
          <w:sz w:val="28"/>
          <w:szCs w:val="28"/>
          <w:lang w:eastAsia="en-CA"/>
        </w:rPr>
      </w:pPr>
      <w:r w:rsidRPr="00D31363">
        <w:rPr>
          <w:rFonts w:ascii="Verdana" w:eastAsia="Times New Roman" w:hAnsi="Verdana" w:cs="Times New Roman"/>
          <w:bCs/>
          <w:color w:val="000000"/>
          <w:sz w:val="24"/>
          <w:szCs w:val="24"/>
          <w:lang w:eastAsia="en-CA"/>
        </w:rPr>
        <w:t>W</w:t>
      </w:r>
      <w:r w:rsidR="006E57A6" w:rsidRPr="00D31363">
        <w:rPr>
          <w:rFonts w:ascii="Verdana" w:eastAsia="Times New Roman" w:hAnsi="Verdana" w:cs="Times New Roman"/>
          <w:bCs/>
          <w:color w:val="000000"/>
          <w:sz w:val="24"/>
          <w:szCs w:val="24"/>
          <w:lang w:eastAsia="en-CA"/>
        </w:rPr>
        <w:t>ithin 6 months when operating within, or within 2 km, of local government boundaries as defined in the WA (Interface)</w:t>
      </w:r>
      <w:r w:rsidR="00B70334">
        <w:rPr>
          <w:rFonts w:ascii="Verdana" w:eastAsia="Times New Roman" w:hAnsi="Verdana" w:cs="Times New Roman"/>
          <w:bCs/>
          <w:color w:val="000000"/>
          <w:sz w:val="24"/>
          <w:szCs w:val="24"/>
          <w:lang w:eastAsia="en-CA"/>
        </w:rPr>
        <w:t xml:space="preserve"> – </w:t>
      </w:r>
      <w:r w:rsidR="00B70334">
        <w:rPr>
          <w:rFonts w:ascii="Verdana" w:eastAsia="Times New Roman" w:hAnsi="Verdana" w:cs="Times New Roman"/>
          <w:bCs/>
          <w:i/>
          <w:color w:val="000000"/>
          <w:sz w:val="24"/>
          <w:szCs w:val="24"/>
          <w:lang w:eastAsia="en-CA"/>
        </w:rPr>
        <w:t>WR 12(1)(a)</w:t>
      </w:r>
      <w:r w:rsidR="00B70334">
        <w:rPr>
          <w:rFonts w:ascii="Verdana" w:eastAsia="Times New Roman" w:hAnsi="Verdana" w:cs="Times New Roman"/>
          <w:bCs/>
          <w:color w:val="000000"/>
          <w:sz w:val="24"/>
          <w:szCs w:val="24"/>
          <w:lang w:eastAsia="en-CA"/>
        </w:rPr>
        <w:t xml:space="preserve">. Note exception; unless bylaws exist – </w:t>
      </w:r>
      <w:r w:rsidR="00B70334">
        <w:rPr>
          <w:rFonts w:ascii="Verdana" w:eastAsia="Times New Roman" w:hAnsi="Verdana" w:cs="Times New Roman"/>
          <w:bCs/>
          <w:i/>
          <w:color w:val="000000"/>
          <w:sz w:val="24"/>
          <w:szCs w:val="24"/>
          <w:lang w:eastAsia="en-CA"/>
        </w:rPr>
        <w:t xml:space="preserve">WA 4 </w:t>
      </w:r>
    </w:p>
    <w:p w:rsidR="00B448F2" w:rsidRPr="00D31363" w:rsidRDefault="00B70334" w:rsidP="006E57A6">
      <w:pPr>
        <w:pStyle w:val="ListParagraph"/>
        <w:numPr>
          <w:ilvl w:val="1"/>
          <w:numId w:val="4"/>
        </w:numPr>
        <w:spacing w:before="360" w:after="0" w:line="288" w:lineRule="atLeast"/>
        <w:outlineLvl w:val="3"/>
        <w:rPr>
          <w:rFonts w:ascii="Verdana" w:eastAsia="Times New Roman" w:hAnsi="Verdana" w:cs="Times New Roman"/>
          <w:bCs/>
          <w:color w:val="000000"/>
          <w:sz w:val="28"/>
          <w:szCs w:val="28"/>
          <w:lang w:eastAsia="en-CA"/>
        </w:rPr>
      </w:pPr>
      <w:r>
        <w:rPr>
          <w:rFonts w:ascii="Verdana" w:eastAsia="Times New Roman" w:hAnsi="Verdana" w:cs="Times New Roman"/>
          <w:bCs/>
          <w:color w:val="000000"/>
          <w:sz w:val="24"/>
          <w:szCs w:val="24"/>
          <w:lang w:eastAsia="en-CA"/>
        </w:rPr>
        <w:t xml:space="preserve">Within 12 months everywhere else – </w:t>
      </w:r>
      <w:r>
        <w:rPr>
          <w:rFonts w:ascii="Verdana" w:eastAsia="Times New Roman" w:hAnsi="Verdana" w:cs="Times New Roman"/>
          <w:bCs/>
          <w:i/>
          <w:color w:val="000000"/>
          <w:sz w:val="24"/>
          <w:szCs w:val="24"/>
          <w:lang w:eastAsia="en-CA"/>
        </w:rPr>
        <w:t>WR 12(1)(b)</w:t>
      </w:r>
    </w:p>
    <w:p w:rsidR="00C26E15" w:rsidRDefault="00C26E15" w:rsidP="00C26E15">
      <w:pPr>
        <w:pStyle w:val="ListParagraph"/>
        <w:spacing w:before="360" w:after="0" w:line="288" w:lineRule="atLeast"/>
        <w:ind w:left="1440"/>
        <w:outlineLvl w:val="3"/>
        <w:rPr>
          <w:rFonts w:ascii="Verdana" w:eastAsia="Times New Roman" w:hAnsi="Verdana" w:cs="Times New Roman"/>
          <w:bCs/>
          <w:color w:val="000000"/>
          <w:sz w:val="28"/>
          <w:szCs w:val="28"/>
          <w:lang w:eastAsia="en-CA"/>
        </w:rPr>
      </w:pPr>
    </w:p>
    <w:p w:rsidR="00C26E15" w:rsidRPr="00C26E15" w:rsidRDefault="00C26E15" w:rsidP="00C26E15">
      <w:pPr>
        <w:pStyle w:val="ListParagraph"/>
        <w:numPr>
          <w:ilvl w:val="0"/>
          <w:numId w:val="4"/>
        </w:numPr>
        <w:spacing w:before="360" w:after="0" w:line="288" w:lineRule="atLeast"/>
        <w:outlineLvl w:val="3"/>
        <w:rPr>
          <w:rFonts w:ascii="Verdana" w:eastAsia="Times New Roman" w:hAnsi="Verdana" w:cs="Times New Roman"/>
          <w:b/>
          <w:bCs/>
          <w:color w:val="000000"/>
          <w:sz w:val="28"/>
          <w:szCs w:val="28"/>
          <w:lang w:eastAsia="en-CA"/>
        </w:rPr>
      </w:pPr>
      <w:r w:rsidRPr="00C26E15">
        <w:rPr>
          <w:rFonts w:ascii="Verdana" w:eastAsia="Times New Roman" w:hAnsi="Verdana" w:cs="Times New Roman"/>
          <w:b/>
          <w:bCs/>
          <w:color w:val="000000"/>
          <w:sz w:val="24"/>
          <w:szCs w:val="24"/>
          <w:lang w:eastAsia="en-CA"/>
        </w:rPr>
        <w:t>Hazard Abatement: Qualified holders</w:t>
      </w:r>
      <w:r w:rsidR="0055284D" w:rsidRPr="00D31363">
        <w:rPr>
          <w:rFonts w:ascii="Verdana" w:eastAsia="Times New Roman" w:hAnsi="Verdana" w:cs="Times New Roman"/>
          <w:b/>
          <w:bCs/>
          <w:color w:val="000000"/>
          <w:sz w:val="24"/>
          <w:szCs w:val="24"/>
          <w:lang w:eastAsia="en-CA"/>
        </w:rPr>
        <w:t xml:space="preserve"> (note that BCTS is a qualified holder)</w:t>
      </w:r>
      <w:r w:rsidRPr="00C26E15">
        <w:rPr>
          <w:rFonts w:ascii="Verdana" w:eastAsia="Times New Roman" w:hAnsi="Verdana" w:cs="Times New Roman"/>
          <w:b/>
          <w:bCs/>
          <w:color w:val="000000"/>
          <w:sz w:val="24"/>
          <w:szCs w:val="24"/>
          <w:lang w:eastAsia="en-CA"/>
        </w:rPr>
        <w:t>;</w:t>
      </w:r>
      <w:r w:rsidRPr="00C26E15">
        <w:rPr>
          <w:rFonts w:ascii="Verdana" w:eastAsia="Times New Roman" w:hAnsi="Verdana" w:cs="Times New Roman"/>
          <w:b/>
          <w:bCs/>
          <w:color w:val="000000"/>
          <w:sz w:val="28"/>
          <w:szCs w:val="28"/>
          <w:lang w:eastAsia="en-CA"/>
        </w:rPr>
        <w:t xml:space="preserve"> </w:t>
      </w:r>
    </w:p>
    <w:p w:rsidR="00C26E15" w:rsidRDefault="00B448F2" w:rsidP="00C26E15">
      <w:pPr>
        <w:pStyle w:val="ListParagraph"/>
        <w:numPr>
          <w:ilvl w:val="1"/>
          <w:numId w:val="4"/>
        </w:numPr>
        <w:spacing w:before="360" w:after="0" w:line="288" w:lineRule="atLeast"/>
        <w:outlineLvl w:val="3"/>
        <w:rPr>
          <w:rFonts w:ascii="Verdana" w:eastAsia="Times New Roman" w:hAnsi="Verdana" w:cs="Times New Roman"/>
          <w:bCs/>
          <w:color w:val="000000"/>
          <w:sz w:val="28"/>
          <w:szCs w:val="28"/>
          <w:lang w:eastAsia="en-CA"/>
        </w:rPr>
      </w:pPr>
      <w:r w:rsidRPr="00D31363">
        <w:rPr>
          <w:rFonts w:ascii="Verdana" w:eastAsia="Times New Roman" w:hAnsi="Verdana" w:cs="Times New Roman"/>
          <w:bCs/>
          <w:color w:val="000000"/>
          <w:sz w:val="24"/>
          <w:szCs w:val="24"/>
          <w:lang w:eastAsia="en-CA"/>
        </w:rPr>
        <w:t xml:space="preserve">Within </w:t>
      </w:r>
      <w:r w:rsidR="00C26E15" w:rsidRPr="00C26E15">
        <w:rPr>
          <w:rFonts w:ascii="Verdana" w:eastAsia="Times New Roman" w:hAnsi="Verdana" w:cs="Times New Roman"/>
          <w:b/>
          <w:bCs/>
          <w:color w:val="000000"/>
          <w:sz w:val="24"/>
          <w:szCs w:val="24"/>
          <w:lang w:eastAsia="en-CA"/>
        </w:rPr>
        <w:t>24 months</w:t>
      </w:r>
      <w:r w:rsidRPr="00D31363">
        <w:rPr>
          <w:rFonts w:ascii="Verdana" w:eastAsia="Times New Roman" w:hAnsi="Verdana" w:cs="Times New Roman"/>
          <w:bCs/>
          <w:color w:val="000000"/>
          <w:sz w:val="24"/>
          <w:szCs w:val="24"/>
          <w:lang w:eastAsia="en-CA"/>
        </w:rPr>
        <w:t xml:space="preserve"> when operating within, or within 2 km, of local government boundaries as defined in the WA (Interface), beginning on start date of industrial activity</w:t>
      </w:r>
      <w:r w:rsidR="000D5840"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i/>
          <w:color w:val="000000"/>
          <w:sz w:val="24"/>
          <w:szCs w:val="24"/>
          <w:lang w:eastAsia="en-CA"/>
        </w:rPr>
        <w:t xml:space="preserve">WR </w:t>
      </w:r>
      <w:r w:rsidR="000D5840" w:rsidRPr="00D31363">
        <w:rPr>
          <w:rFonts w:ascii="Verdana" w:eastAsia="Times New Roman" w:hAnsi="Verdana" w:cs="Times New Roman"/>
          <w:bCs/>
          <w:i/>
          <w:color w:val="000000"/>
          <w:sz w:val="24"/>
          <w:szCs w:val="24"/>
          <w:lang w:eastAsia="en-CA"/>
        </w:rPr>
        <w:t>12.1(2)(a)</w:t>
      </w:r>
      <w:r w:rsidR="0061604C" w:rsidRPr="00D31363">
        <w:rPr>
          <w:rFonts w:ascii="Verdana" w:eastAsia="Times New Roman" w:hAnsi="Verdana" w:cs="Times New Roman"/>
          <w:bCs/>
          <w:color w:val="000000"/>
          <w:sz w:val="24"/>
          <w:szCs w:val="24"/>
          <w:lang w:eastAsia="en-CA"/>
        </w:rPr>
        <w:t xml:space="preserve">. Note exception; unless bylaws exist – </w:t>
      </w:r>
      <w:r w:rsidR="0061604C" w:rsidRPr="00D31363">
        <w:rPr>
          <w:rFonts w:ascii="Verdana" w:eastAsia="Times New Roman" w:hAnsi="Verdana" w:cs="Times New Roman"/>
          <w:bCs/>
          <w:i/>
          <w:color w:val="000000"/>
          <w:sz w:val="24"/>
          <w:szCs w:val="24"/>
          <w:lang w:eastAsia="en-CA"/>
        </w:rPr>
        <w:t>WA 4</w:t>
      </w:r>
      <w:r w:rsidRPr="00D31363">
        <w:rPr>
          <w:rFonts w:ascii="Verdana" w:eastAsia="Times New Roman" w:hAnsi="Verdana" w:cs="Times New Roman"/>
          <w:bCs/>
          <w:color w:val="000000"/>
          <w:sz w:val="24"/>
          <w:szCs w:val="24"/>
          <w:lang w:eastAsia="en-CA"/>
        </w:rPr>
        <w:t xml:space="preserve"> </w:t>
      </w:r>
    </w:p>
    <w:p w:rsidR="00C26E15" w:rsidRDefault="00B70334" w:rsidP="00C26E15">
      <w:pPr>
        <w:pStyle w:val="ListParagraph"/>
        <w:numPr>
          <w:ilvl w:val="1"/>
          <w:numId w:val="4"/>
        </w:num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Cs/>
          <w:color w:val="000000"/>
          <w:sz w:val="24"/>
          <w:szCs w:val="24"/>
          <w:lang w:eastAsia="en-CA"/>
        </w:rPr>
        <w:t xml:space="preserve">Within </w:t>
      </w:r>
      <w:r w:rsidR="00C26E15" w:rsidRPr="00C26E15">
        <w:rPr>
          <w:rFonts w:ascii="Verdana" w:eastAsia="Times New Roman" w:hAnsi="Verdana" w:cs="Times New Roman"/>
          <w:b/>
          <w:bCs/>
          <w:color w:val="000000"/>
          <w:sz w:val="24"/>
          <w:szCs w:val="24"/>
          <w:lang w:eastAsia="en-CA"/>
        </w:rPr>
        <w:t>30 months</w:t>
      </w:r>
      <w:r w:rsidR="00B448F2" w:rsidRPr="00D31363">
        <w:rPr>
          <w:rFonts w:ascii="Verdana" w:eastAsia="Times New Roman" w:hAnsi="Verdana" w:cs="Times New Roman"/>
          <w:bCs/>
          <w:color w:val="000000"/>
          <w:sz w:val="24"/>
          <w:szCs w:val="24"/>
          <w:lang w:eastAsia="en-CA"/>
        </w:rPr>
        <w:t xml:space="preserve"> everywhere else</w:t>
      </w:r>
      <w:r w:rsidR="007F568B" w:rsidRPr="00D31363">
        <w:rPr>
          <w:rFonts w:ascii="Verdana" w:eastAsia="Times New Roman" w:hAnsi="Verdana" w:cs="Times New Roman"/>
          <w:bCs/>
          <w:color w:val="000000"/>
          <w:sz w:val="24"/>
          <w:szCs w:val="24"/>
          <w:lang w:eastAsia="en-CA"/>
        </w:rPr>
        <w:t>, beginning on st</w:t>
      </w:r>
      <w:r w:rsidR="000D5840" w:rsidRPr="00D31363">
        <w:rPr>
          <w:rFonts w:ascii="Verdana" w:eastAsia="Times New Roman" w:hAnsi="Verdana" w:cs="Times New Roman"/>
          <w:bCs/>
          <w:color w:val="000000"/>
          <w:sz w:val="24"/>
          <w:szCs w:val="24"/>
          <w:lang w:eastAsia="en-CA"/>
        </w:rPr>
        <w:t xml:space="preserve">art date of industrial activity </w:t>
      </w:r>
      <w:r w:rsidR="00436D1B" w:rsidRPr="00D31363">
        <w:rPr>
          <w:rFonts w:ascii="Verdana" w:eastAsia="Times New Roman" w:hAnsi="Verdana" w:cs="Times New Roman"/>
          <w:bCs/>
          <w:color w:val="000000"/>
          <w:sz w:val="24"/>
          <w:szCs w:val="24"/>
          <w:lang w:eastAsia="en-CA"/>
        </w:rPr>
        <w:t>–</w:t>
      </w:r>
      <w:r w:rsidR="000D5840"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color w:val="000000"/>
          <w:sz w:val="24"/>
          <w:szCs w:val="24"/>
          <w:lang w:eastAsia="en-CA"/>
        </w:rPr>
        <w:t xml:space="preserve">WR </w:t>
      </w:r>
      <w:r w:rsidR="000D5840" w:rsidRPr="00D31363">
        <w:rPr>
          <w:rFonts w:ascii="Verdana" w:eastAsia="Times New Roman" w:hAnsi="Verdana" w:cs="Times New Roman"/>
          <w:bCs/>
          <w:color w:val="000000"/>
          <w:sz w:val="24"/>
          <w:szCs w:val="24"/>
          <w:lang w:eastAsia="en-CA"/>
        </w:rPr>
        <w:t>12.1</w:t>
      </w:r>
      <w:r w:rsidR="00665A60" w:rsidRPr="00D31363">
        <w:rPr>
          <w:rFonts w:ascii="Verdana" w:eastAsia="Times New Roman" w:hAnsi="Verdana" w:cs="Times New Roman"/>
          <w:bCs/>
          <w:color w:val="000000"/>
          <w:sz w:val="24"/>
          <w:szCs w:val="24"/>
          <w:lang w:eastAsia="en-CA"/>
        </w:rPr>
        <w:t>(2)</w:t>
      </w:r>
      <w:r w:rsidR="000D5840" w:rsidRPr="00D31363">
        <w:rPr>
          <w:rFonts w:ascii="Verdana" w:eastAsia="Times New Roman" w:hAnsi="Verdana" w:cs="Times New Roman"/>
          <w:bCs/>
          <w:color w:val="000000"/>
          <w:sz w:val="24"/>
          <w:szCs w:val="24"/>
          <w:lang w:eastAsia="en-CA"/>
        </w:rPr>
        <w:t>(b)(i)</w:t>
      </w:r>
      <w:r>
        <w:rPr>
          <w:rFonts w:ascii="Verdana" w:eastAsia="Times New Roman" w:hAnsi="Verdana" w:cs="Times New Roman"/>
          <w:bCs/>
          <w:color w:val="000000"/>
          <w:sz w:val="24"/>
          <w:szCs w:val="24"/>
          <w:lang w:eastAsia="en-CA"/>
        </w:rPr>
        <w:t xml:space="preserve"> </w:t>
      </w:r>
    </w:p>
    <w:p w:rsidR="00C26E15" w:rsidRPr="00C26E15" w:rsidRDefault="00C26E15" w:rsidP="00C26E15">
      <w:pPr>
        <w:pStyle w:val="ListParagraph"/>
        <w:numPr>
          <w:ilvl w:val="1"/>
          <w:numId w:val="4"/>
        </w:numPr>
        <w:spacing w:before="360" w:after="0" w:line="288" w:lineRule="atLeast"/>
        <w:outlineLvl w:val="3"/>
        <w:rPr>
          <w:rFonts w:ascii="Verdana" w:eastAsia="Times New Roman" w:hAnsi="Verdana" w:cs="Times New Roman"/>
          <w:b/>
          <w:bCs/>
          <w:color w:val="000000"/>
          <w:sz w:val="28"/>
          <w:szCs w:val="28"/>
          <w:u w:val="single"/>
          <w:lang w:eastAsia="en-CA"/>
        </w:rPr>
      </w:pPr>
      <w:r w:rsidRPr="00C26E15">
        <w:rPr>
          <w:rFonts w:ascii="Verdana" w:eastAsia="Times New Roman" w:hAnsi="Verdana" w:cs="Times New Roman"/>
          <w:b/>
          <w:bCs/>
          <w:color w:val="000000"/>
          <w:sz w:val="24"/>
          <w:szCs w:val="24"/>
          <w:lang w:eastAsia="en-CA"/>
        </w:rPr>
        <w:t>Option for qualified holder</w:t>
      </w:r>
      <w:r w:rsidR="007F568B" w:rsidRPr="00D31363">
        <w:rPr>
          <w:rFonts w:ascii="Verdana" w:eastAsia="Times New Roman" w:hAnsi="Verdana" w:cs="Times New Roman"/>
          <w:bCs/>
          <w:color w:val="000000"/>
          <w:sz w:val="24"/>
          <w:szCs w:val="24"/>
          <w:lang w:eastAsia="en-CA"/>
        </w:rPr>
        <w:t xml:space="preserve"> to complete abatement as specified by an RPF or RFT</w:t>
      </w:r>
      <w:r w:rsidR="00665A60" w:rsidRPr="00D31363">
        <w:rPr>
          <w:rFonts w:ascii="Verdana" w:eastAsia="Times New Roman" w:hAnsi="Verdana" w:cs="Times New Roman"/>
          <w:bCs/>
          <w:color w:val="000000"/>
          <w:sz w:val="24"/>
          <w:szCs w:val="24"/>
          <w:lang w:eastAsia="en-CA"/>
        </w:rPr>
        <w:t xml:space="preserve"> (rationale required)</w:t>
      </w:r>
      <w:r w:rsidR="000D5840"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color w:val="000000"/>
          <w:sz w:val="24"/>
          <w:szCs w:val="24"/>
          <w:lang w:eastAsia="en-CA"/>
        </w:rPr>
        <w:t>–</w:t>
      </w:r>
      <w:r w:rsidR="000D5840" w:rsidRPr="00D31363">
        <w:rPr>
          <w:rFonts w:ascii="Verdana" w:eastAsia="Times New Roman" w:hAnsi="Verdana" w:cs="Times New Roman"/>
          <w:bCs/>
          <w:color w:val="000000"/>
          <w:sz w:val="24"/>
          <w:szCs w:val="24"/>
          <w:lang w:eastAsia="en-CA"/>
        </w:rPr>
        <w:t xml:space="preserve"> </w:t>
      </w:r>
      <w:r w:rsidR="00436D1B" w:rsidRPr="00D31363">
        <w:rPr>
          <w:rFonts w:ascii="Verdana" w:eastAsia="Times New Roman" w:hAnsi="Verdana" w:cs="Times New Roman"/>
          <w:bCs/>
          <w:i/>
          <w:color w:val="000000"/>
          <w:sz w:val="24"/>
          <w:szCs w:val="24"/>
          <w:lang w:eastAsia="en-CA"/>
        </w:rPr>
        <w:t xml:space="preserve">WR </w:t>
      </w:r>
      <w:r w:rsidR="000D5840" w:rsidRPr="00D31363">
        <w:rPr>
          <w:rFonts w:ascii="Verdana" w:eastAsia="Times New Roman" w:hAnsi="Verdana" w:cs="Times New Roman"/>
          <w:bCs/>
          <w:i/>
          <w:color w:val="000000"/>
          <w:sz w:val="24"/>
          <w:szCs w:val="24"/>
          <w:lang w:eastAsia="en-CA"/>
        </w:rPr>
        <w:t>12.1</w:t>
      </w:r>
      <w:r w:rsidR="00B70334">
        <w:rPr>
          <w:rFonts w:ascii="Verdana" w:eastAsia="Times New Roman" w:hAnsi="Verdana" w:cs="Times New Roman"/>
          <w:bCs/>
          <w:i/>
          <w:color w:val="000000"/>
          <w:sz w:val="24"/>
          <w:szCs w:val="24"/>
          <w:lang w:eastAsia="en-CA"/>
        </w:rPr>
        <w:t>(2)(b)(ii)</w:t>
      </w:r>
    </w:p>
    <w:p w:rsidR="00B4262A" w:rsidRPr="00D31363" w:rsidRDefault="00B4262A" w:rsidP="00B4262A">
      <w:pPr>
        <w:pStyle w:val="ListParagraph"/>
        <w:numPr>
          <w:ilvl w:val="0"/>
          <w:numId w:val="4"/>
        </w:numPr>
        <w:spacing w:before="360" w:after="0" w:line="288" w:lineRule="atLeast"/>
        <w:outlineLvl w:val="3"/>
        <w:rPr>
          <w:rFonts w:ascii="Verdana" w:eastAsia="Times New Roman" w:hAnsi="Verdana" w:cs="Times New Roman"/>
          <w:b/>
          <w:bCs/>
          <w:color w:val="000000"/>
          <w:sz w:val="28"/>
          <w:szCs w:val="28"/>
          <w:lang w:eastAsia="en-CA"/>
        </w:rPr>
      </w:pPr>
      <w:r w:rsidRPr="00D31363">
        <w:rPr>
          <w:rFonts w:ascii="Verdana" w:eastAsia="Times New Roman" w:hAnsi="Verdana" w:cs="Times New Roman"/>
          <w:b/>
          <w:bCs/>
          <w:color w:val="000000"/>
          <w:sz w:val="24"/>
          <w:szCs w:val="24"/>
          <w:lang w:eastAsia="en-CA"/>
        </w:rPr>
        <w:t>Hazard Abatement: Fibre Recovery tenure holders;</w:t>
      </w:r>
      <w:r w:rsidRPr="00D31363">
        <w:rPr>
          <w:rFonts w:ascii="Verdana" w:eastAsia="Times New Roman" w:hAnsi="Verdana" w:cs="Times New Roman"/>
          <w:b/>
          <w:bCs/>
          <w:color w:val="000000"/>
          <w:sz w:val="28"/>
          <w:szCs w:val="28"/>
          <w:lang w:eastAsia="en-CA"/>
        </w:rPr>
        <w:t xml:space="preserve"> </w:t>
      </w:r>
    </w:p>
    <w:p w:rsidR="00B4262A" w:rsidRPr="00D31363" w:rsidRDefault="00B4262A" w:rsidP="00B4262A">
      <w:pPr>
        <w:pStyle w:val="ListParagraph"/>
        <w:numPr>
          <w:ilvl w:val="1"/>
          <w:numId w:val="4"/>
        </w:numPr>
        <w:spacing w:before="360" w:after="0" w:line="288" w:lineRule="atLeast"/>
        <w:outlineLvl w:val="3"/>
        <w:rPr>
          <w:rFonts w:ascii="Verdana" w:eastAsia="Times New Roman" w:hAnsi="Verdana" w:cs="Times New Roman"/>
          <w:bCs/>
          <w:color w:val="000000"/>
          <w:sz w:val="28"/>
          <w:szCs w:val="28"/>
          <w:lang w:eastAsia="en-CA"/>
        </w:rPr>
      </w:pPr>
      <w:r w:rsidRPr="00D31363">
        <w:rPr>
          <w:rFonts w:ascii="Verdana" w:eastAsia="Times New Roman" w:hAnsi="Verdana" w:cs="Times New Roman"/>
          <w:bCs/>
          <w:color w:val="000000"/>
          <w:sz w:val="24"/>
          <w:szCs w:val="24"/>
          <w:lang w:eastAsia="en-CA"/>
        </w:rPr>
        <w:t>Within 6</w:t>
      </w:r>
      <w:r w:rsidRPr="00D31363">
        <w:rPr>
          <w:rFonts w:ascii="Verdana" w:eastAsia="Times New Roman" w:hAnsi="Verdana" w:cs="Times New Roman"/>
          <w:b/>
          <w:bCs/>
          <w:color w:val="000000"/>
          <w:sz w:val="24"/>
          <w:szCs w:val="24"/>
          <w:lang w:eastAsia="en-CA"/>
        </w:rPr>
        <w:t xml:space="preserve"> months</w:t>
      </w:r>
      <w:r w:rsidRPr="00D31363">
        <w:rPr>
          <w:rFonts w:ascii="Verdana" w:eastAsia="Times New Roman" w:hAnsi="Verdana" w:cs="Times New Roman"/>
          <w:bCs/>
          <w:color w:val="000000"/>
          <w:sz w:val="24"/>
          <w:szCs w:val="24"/>
          <w:lang w:eastAsia="en-CA"/>
        </w:rPr>
        <w:t xml:space="preserve"> when operating within, or within 2 km, of local government boundaries as defined in the WA (Interface), beginning </w:t>
      </w:r>
      <w:r w:rsidR="00B70334">
        <w:rPr>
          <w:rFonts w:ascii="Verdana" w:eastAsia="Times New Roman" w:hAnsi="Verdana" w:cs="Times New Roman"/>
          <w:bCs/>
          <w:color w:val="000000"/>
          <w:sz w:val="24"/>
          <w:szCs w:val="24"/>
          <w:lang w:eastAsia="en-CA"/>
        </w:rPr>
        <w:t xml:space="preserve">when the forestry licence to cut or fibre recovery permit has been issued </w:t>
      </w:r>
      <w:r w:rsidR="00B70334">
        <w:rPr>
          <w:rFonts w:ascii="Verdana" w:eastAsia="Times New Roman" w:hAnsi="Verdana" w:cs="Times New Roman"/>
          <w:bCs/>
          <w:i/>
          <w:color w:val="000000"/>
          <w:sz w:val="24"/>
          <w:szCs w:val="24"/>
          <w:lang w:eastAsia="en-CA"/>
        </w:rPr>
        <w:t>WR 12.2(2)(a)</w:t>
      </w:r>
      <w:r w:rsidR="00B70334">
        <w:rPr>
          <w:rFonts w:ascii="Verdana" w:eastAsia="Times New Roman" w:hAnsi="Verdana" w:cs="Times New Roman"/>
          <w:bCs/>
          <w:color w:val="000000"/>
          <w:sz w:val="24"/>
          <w:szCs w:val="24"/>
          <w:lang w:eastAsia="en-CA"/>
        </w:rPr>
        <w:t xml:space="preserve">. Note exception; unless bylaws exist – </w:t>
      </w:r>
      <w:r w:rsidR="00B70334">
        <w:rPr>
          <w:rFonts w:ascii="Verdana" w:eastAsia="Times New Roman" w:hAnsi="Verdana" w:cs="Times New Roman"/>
          <w:bCs/>
          <w:i/>
          <w:color w:val="000000"/>
          <w:sz w:val="24"/>
          <w:szCs w:val="24"/>
          <w:lang w:eastAsia="en-CA"/>
        </w:rPr>
        <w:t>WA 4</w:t>
      </w:r>
      <w:r w:rsidR="00B70334">
        <w:rPr>
          <w:rFonts w:ascii="Verdana" w:eastAsia="Times New Roman" w:hAnsi="Verdana" w:cs="Times New Roman"/>
          <w:bCs/>
          <w:color w:val="000000"/>
          <w:sz w:val="24"/>
          <w:szCs w:val="24"/>
          <w:lang w:eastAsia="en-CA"/>
        </w:rPr>
        <w:t xml:space="preserve"> </w:t>
      </w:r>
    </w:p>
    <w:p w:rsidR="00B4262A" w:rsidRPr="00D31363" w:rsidRDefault="00B70334" w:rsidP="00B4262A">
      <w:pPr>
        <w:pStyle w:val="ListParagraph"/>
        <w:numPr>
          <w:ilvl w:val="1"/>
          <w:numId w:val="4"/>
        </w:numPr>
        <w:spacing w:before="360" w:after="0" w:line="288" w:lineRule="atLeast"/>
        <w:outlineLvl w:val="3"/>
        <w:rPr>
          <w:rFonts w:ascii="Verdana" w:eastAsia="Times New Roman" w:hAnsi="Verdana" w:cs="Times New Roman"/>
          <w:b/>
          <w:bCs/>
          <w:i/>
          <w:color w:val="000000"/>
          <w:sz w:val="28"/>
          <w:szCs w:val="28"/>
          <w:u w:val="single"/>
          <w:lang w:eastAsia="en-CA"/>
        </w:rPr>
      </w:pPr>
      <w:r>
        <w:rPr>
          <w:rFonts w:ascii="Verdana" w:eastAsia="Times New Roman" w:hAnsi="Verdana" w:cs="Times New Roman"/>
          <w:bCs/>
          <w:color w:val="000000"/>
          <w:sz w:val="24"/>
          <w:szCs w:val="24"/>
          <w:lang w:eastAsia="en-CA"/>
        </w:rPr>
        <w:t>Within 12</w:t>
      </w:r>
      <w:r>
        <w:rPr>
          <w:rFonts w:ascii="Verdana" w:eastAsia="Times New Roman" w:hAnsi="Verdana" w:cs="Times New Roman"/>
          <w:b/>
          <w:bCs/>
          <w:color w:val="000000"/>
          <w:sz w:val="24"/>
          <w:szCs w:val="24"/>
          <w:lang w:eastAsia="en-CA"/>
        </w:rPr>
        <w:t xml:space="preserve"> months</w:t>
      </w:r>
      <w:r>
        <w:rPr>
          <w:rFonts w:ascii="Verdana" w:eastAsia="Times New Roman" w:hAnsi="Verdana" w:cs="Times New Roman"/>
          <w:bCs/>
          <w:color w:val="000000"/>
          <w:sz w:val="24"/>
          <w:szCs w:val="24"/>
          <w:lang w:eastAsia="en-CA"/>
        </w:rPr>
        <w:t xml:space="preserve"> everywhere else, beginning when the forestry licence to cut or fibre recovery permit has been issued – </w:t>
      </w:r>
      <w:r w:rsidR="00C26E15" w:rsidRPr="00C26E15">
        <w:rPr>
          <w:rFonts w:ascii="Verdana" w:eastAsia="Times New Roman" w:hAnsi="Verdana" w:cs="Times New Roman"/>
          <w:bCs/>
          <w:i/>
          <w:color w:val="000000"/>
          <w:sz w:val="24"/>
          <w:szCs w:val="24"/>
          <w:lang w:eastAsia="en-CA"/>
        </w:rPr>
        <w:t xml:space="preserve">WR 12.2(2)(b) </w:t>
      </w:r>
    </w:p>
    <w:p w:rsidR="00C26E15" w:rsidRPr="00C26E15" w:rsidRDefault="00C26E15" w:rsidP="00C26E15">
      <w:pPr>
        <w:pStyle w:val="ListParagraph"/>
        <w:spacing w:before="360" w:after="0" w:line="288" w:lineRule="atLeast"/>
        <w:ind w:left="1440"/>
        <w:outlineLvl w:val="3"/>
        <w:rPr>
          <w:rFonts w:ascii="Verdana" w:eastAsia="Times New Roman" w:hAnsi="Verdana" w:cs="Times New Roman"/>
          <w:b/>
          <w:bCs/>
          <w:color w:val="000000"/>
          <w:sz w:val="28"/>
          <w:szCs w:val="28"/>
          <w:u w:val="single"/>
          <w:lang w:eastAsia="en-CA"/>
        </w:rPr>
      </w:pPr>
    </w:p>
    <w:p w:rsidR="00C26E15" w:rsidRDefault="007F568B" w:rsidP="00C26E15">
      <w:pPr>
        <w:pStyle w:val="ListParagraph"/>
        <w:numPr>
          <w:ilvl w:val="0"/>
          <w:numId w:val="4"/>
        </w:numPr>
        <w:spacing w:before="120" w:after="0" w:line="288" w:lineRule="atLeast"/>
        <w:contextualSpacing w:val="0"/>
        <w:outlineLvl w:val="3"/>
        <w:rPr>
          <w:rFonts w:ascii="Verdana" w:eastAsia="Times New Roman" w:hAnsi="Verdana" w:cs="Times New Roman"/>
          <w:bCs/>
          <w:color w:val="000000"/>
          <w:sz w:val="24"/>
          <w:szCs w:val="24"/>
          <w:lang w:eastAsia="en-CA"/>
        </w:rPr>
      </w:pPr>
      <w:r w:rsidRPr="00D31363">
        <w:rPr>
          <w:rFonts w:ascii="Verdana" w:eastAsia="Times New Roman" w:hAnsi="Verdana" w:cs="Times New Roman"/>
          <w:bCs/>
          <w:color w:val="000000"/>
          <w:sz w:val="24"/>
          <w:szCs w:val="24"/>
          <w:lang w:eastAsia="en-CA"/>
        </w:rPr>
        <w:t xml:space="preserve">Hazard assessments must include assessment of fire hazard and </w:t>
      </w:r>
      <w:r w:rsidR="0055284D" w:rsidRPr="00D31363">
        <w:rPr>
          <w:rFonts w:ascii="Verdana" w:eastAsia="Times New Roman" w:hAnsi="Verdana" w:cs="Times New Roman"/>
          <w:bCs/>
          <w:color w:val="000000"/>
          <w:sz w:val="24"/>
          <w:szCs w:val="24"/>
          <w:lang w:eastAsia="en-CA"/>
        </w:rPr>
        <w:t xml:space="preserve">its associated </w:t>
      </w:r>
      <w:r w:rsidRPr="00D31363">
        <w:rPr>
          <w:rFonts w:ascii="Verdana" w:eastAsia="Times New Roman" w:hAnsi="Verdana" w:cs="Times New Roman"/>
          <w:bCs/>
          <w:color w:val="000000"/>
          <w:sz w:val="24"/>
          <w:szCs w:val="24"/>
          <w:u w:val="single"/>
          <w:lang w:eastAsia="en-CA"/>
        </w:rPr>
        <w:t>ris</w:t>
      </w:r>
      <w:r w:rsidR="000D5840" w:rsidRPr="00D31363">
        <w:rPr>
          <w:rFonts w:ascii="Verdana" w:eastAsia="Times New Roman" w:hAnsi="Verdana" w:cs="Times New Roman"/>
          <w:bCs/>
          <w:color w:val="000000"/>
          <w:sz w:val="24"/>
          <w:szCs w:val="24"/>
          <w:u w:val="single"/>
          <w:lang w:eastAsia="en-CA"/>
        </w:rPr>
        <w:t>k of fire starting/</w:t>
      </w:r>
      <w:r w:rsidR="000D5840" w:rsidRPr="00D31363">
        <w:rPr>
          <w:rFonts w:ascii="Verdana" w:eastAsia="Times New Roman" w:hAnsi="Verdana" w:cs="Times New Roman"/>
          <w:b/>
          <w:bCs/>
          <w:color w:val="000000"/>
          <w:sz w:val="24"/>
          <w:szCs w:val="24"/>
          <w:u w:val="single"/>
          <w:lang w:eastAsia="en-CA"/>
        </w:rPr>
        <w:t>spreading</w:t>
      </w:r>
      <w:r w:rsidR="000D5840" w:rsidRPr="00D31363">
        <w:rPr>
          <w:rFonts w:ascii="Verdana" w:eastAsia="Times New Roman" w:hAnsi="Verdana" w:cs="Times New Roman"/>
          <w:bCs/>
          <w:color w:val="000000"/>
          <w:sz w:val="24"/>
          <w:szCs w:val="24"/>
          <w:u w:val="single"/>
          <w:lang w:eastAsia="en-CA"/>
        </w:rPr>
        <w:t xml:space="preserve"> </w:t>
      </w:r>
      <w:r w:rsidR="000D5840" w:rsidRPr="00D31363">
        <w:rPr>
          <w:rFonts w:ascii="Verdana" w:eastAsia="Times New Roman" w:hAnsi="Verdana" w:cs="Times New Roman"/>
          <w:bCs/>
          <w:color w:val="000000"/>
          <w:sz w:val="24"/>
          <w:szCs w:val="24"/>
          <w:lang w:eastAsia="en-CA"/>
        </w:rPr>
        <w:t xml:space="preserve">– </w:t>
      </w:r>
      <w:r w:rsidR="00B70334">
        <w:rPr>
          <w:rFonts w:ascii="Verdana" w:eastAsia="Times New Roman" w:hAnsi="Verdana" w:cs="Times New Roman"/>
          <w:bCs/>
          <w:i/>
          <w:color w:val="000000"/>
          <w:sz w:val="24"/>
          <w:szCs w:val="24"/>
          <w:lang w:eastAsia="en-CA"/>
        </w:rPr>
        <w:t>WR 11(4)(a</w:t>
      </w:r>
      <w:r w:rsidRPr="00D31363">
        <w:rPr>
          <w:rFonts w:ascii="Verdana" w:eastAsia="Times New Roman" w:hAnsi="Verdana" w:cs="Times New Roman"/>
          <w:bCs/>
          <w:i/>
          <w:color w:val="000000"/>
          <w:sz w:val="24"/>
          <w:szCs w:val="24"/>
          <w:lang w:eastAsia="en-CA"/>
        </w:rPr>
        <w:t>)</w:t>
      </w:r>
      <w:r w:rsidRPr="00D31363">
        <w:rPr>
          <w:rFonts w:ascii="Verdana" w:eastAsia="Times New Roman" w:hAnsi="Verdana" w:cs="Times New Roman"/>
          <w:bCs/>
          <w:color w:val="000000"/>
          <w:sz w:val="24"/>
          <w:szCs w:val="24"/>
          <w:lang w:eastAsia="en-CA"/>
        </w:rPr>
        <w:t xml:space="preserve"> </w:t>
      </w:r>
    </w:p>
    <w:p w:rsidR="00C26E15" w:rsidRDefault="00330CC2" w:rsidP="00C26E15">
      <w:pPr>
        <w:pStyle w:val="ListParagraph"/>
        <w:numPr>
          <w:ilvl w:val="0"/>
          <w:numId w:val="4"/>
        </w:numPr>
        <w:spacing w:before="120" w:after="0" w:line="288" w:lineRule="atLeast"/>
        <w:contextualSpacing w:val="0"/>
        <w:outlineLvl w:val="3"/>
        <w:rPr>
          <w:rFonts w:ascii="Verdana" w:eastAsia="Times New Roman" w:hAnsi="Verdana" w:cs="Times New Roman"/>
          <w:bCs/>
          <w:color w:val="000000"/>
          <w:sz w:val="24"/>
          <w:szCs w:val="24"/>
          <w:lang w:eastAsia="en-CA"/>
        </w:rPr>
      </w:pPr>
      <w:r w:rsidRPr="00D31363">
        <w:rPr>
          <w:rFonts w:ascii="Verdana" w:eastAsia="Times New Roman" w:hAnsi="Verdana" w:cs="Times New Roman"/>
          <w:bCs/>
          <w:color w:val="000000"/>
          <w:sz w:val="24"/>
          <w:szCs w:val="24"/>
          <w:lang w:eastAsia="en-CA"/>
        </w:rPr>
        <w:t>A person must abate fire hazard to levels that are no</w:t>
      </w:r>
      <w:r w:rsidR="00FA7076" w:rsidRPr="00D31363">
        <w:rPr>
          <w:rFonts w:ascii="Verdana" w:eastAsia="Times New Roman" w:hAnsi="Verdana" w:cs="Times New Roman"/>
          <w:bCs/>
          <w:color w:val="000000"/>
          <w:sz w:val="24"/>
          <w:szCs w:val="24"/>
          <w:lang w:eastAsia="en-CA"/>
        </w:rPr>
        <w:t>t</w:t>
      </w:r>
      <w:r w:rsidRPr="00D31363">
        <w:rPr>
          <w:rFonts w:ascii="Verdana" w:eastAsia="Times New Roman" w:hAnsi="Verdana" w:cs="Times New Roman"/>
          <w:bCs/>
          <w:color w:val="000000"/>
          <w:sz w:val="24"/>
          <w:szCs w:val="24"/>
          <w:lang w:eastAsia="en-CA"/>
        </w:rPr>
        <w:t xml:space="preserve"> greater </w:t>
      </w:r>
      <w:r w:rsidR="00FA7076" w:rsidRPr="00D31363">
        <w:rPr>
          <w:rFonts w:ascii="Verdana" w:eastAsia="Times New Roman" w:hAnsi="Verdana" w:cs="Times New Roman"/>
          <w:bCs/>
          <w:color w:val="000000"/>
          <w:sz w:val="24"/>
          <w:szCs w:val="24"/>
          <w:lang w:eastAsia="en-CA"/>
        </w:rPr>
        <w:t xml:space="preserve">then </w:t>
      </w:r>
      <w:r w:rsidRPr="00D31363">
        <w:rPr>
          <w:rFonts w:ascii="Verdana" w:eastAsia="Times New Roman" w:hAnsi="Verdana" w:cs="Times New Roman"/>
          <w:bCs/>
          <w:color w:val="000000"/>
          <w:sz w:val="24"/>
          <w:szCs w:val="24"/>
          <w:lang w:eastAsia="en-CA"/>
        </w:rPr>
        <w:t xml:space="preserve">prior to harvesting operations – </w:t>
      </w:r>
      <w:r w:rsidRPr="00D31363">
        <w:rPr>
          <w:rFonts w:ascii="Verdana" w:eastAsia="Times New Roman" w:hAnsi="Verdana" w:cs="Times New Roman"/>
          <w:bCs/>
          <w:i/>
          <w:color w:val="000000"/>
          <w:sz w:val="24"/>
          <w:szCs w:val="24"/>
          <w:lang w:eastAsia="en-CA"/>
        </w:rPr>
        <w:t>WR 12(2)(a)(b) &amp; 12.1(3)(i)(ii)</w:t>
      </w:r>
    </w:p>
    <w:p w:rsidR="00C26E15" w:rsidRDefault="00B70334" w:rsidP="00C26E15">
      <w:pPr>
        <w:pStyle w:val="ListParagraph"/>
        <w:numPr>
          <w:ilvl w:val="1"/>
          <w:numId w:val="4"/>
        </w:numPr>
        <w:spacing w:before="120" w:after="0" w:line="288" w:lineRule="atLeast"/>
        <w:contextualSpacing w:val="0"/>
        <w:outlineLvl w:val="3"/>
        <w:rPr>
          <w:rFonts w:ascii="Verdana" w:eastAsia="Times New Roman" w:hAnsi="Verdana" w:cs="Times New Roman"/>
          <w:bCs/>
          <w:color w:val="000000"/>
          <w:sz w:val="24"/>
          <w:szCs w:val="24"/>
          <w:lang w:eastAsia="en-CA"/>
        </w:rPr>
      </w:pPr>
      <w:r>
        <w:rPr>
          <w:rFonts w:ascii="Verdana" w:eastAsia="Times New Roman" w:hAnsi="Verdana" w:cs="Times New Roman"/>
          <w:bCs/>
          <w:color w:val="000000"/>
          <w:sz w:val="24"/>
          <w:szCs w:val="24"/>
          <w:lang w:eastAsia="en-CA"/>
        </w:rPr>
        <w:t xml:space="preserve">Or, In the case of a </w:t>
      </w:r>
      <w:r w:rsidR="00C26E15" w:rsidRPr="00C26E15">
        <w:rPr>
          <w:rFonts w:ascii="Verdana" w:eastAsia="Times New Roman" w:hAnsi="Verdana" w:cs="Times New Roman"/>
          <w:b/>
          <w:bCs/>
          <w:color w:val="000000"/>
          <w:sz w:val="24"/>
          <w:szCs w:val="24"/>
          <w:lang w:eastAsia="en-CA"/>
        </w:rPr>
        <w:t>qualified holder</w:t>
      </w:r>
      <w:r w:rsidR="00330CC2" w:rsidRPr="00D31363">
        <w:rPr>
          <w:rFonts w:ascii="Verdana" w:eastAsia="Times New Roman" w:hAnsi="Verdana" w:cs="Times New Roman"/>
          <w:bCs/>
          <w:color w:val="000000"/>
          <w:sz w:val="24"/>
          <w:szCs w:val="24"/>
          <w:lang w:eastAsia="en-CA"/>
        </w:rPr>
        <w:t xml:space="preserve"> as specified by a RPF or RFT</w:t>
      </w:r>
      <w:r w:rsidR="00FA7076" w:rsidRPr="00D31363">
        <w:rPr>
          <w:rFonts w:ascii="Verdana" w:eastAsia="Times New Roman" w:hAnsi="Verdana" w:cs="Times New Roman"/>
          <w:bCs/>
          <w:color w:val="000000"/>
          <w:sz w:val="24"/>
          <w:szCs w:val="24"/>
          <w:lang w:eastAsia="en-CA"/>
        </w:rPr>
        <w:t xml:space="preserve"> (with rationale)</w:t>
      </w:r>
      <w:r w:rsidR="00330CC2" w:rsidRPr="00D31363">
        <w:rPr>
          <w:rFonts w:ascii="Verdana" w:eastAsia="Times New Roman" w:hAnsi="Verdana" w:cs="Times New Roman"/>
          <w:bCs/>
          <w:color w:val="000000"/>
          <w:sz w:val="24"/>
          <w:szCs w:val="24"/>
          <w:lang w:eastAsia="en-CA"/>
        </w:rPr>
        <w:t xml:space="preserve"> – </w:t>
      </w:r>
      <w:r w:rsidR="00330CC2" w:rsidRPr="00D31363">
        <w:rPr>
          <w:rFonts w:ascii="Verdana" w:eastAsia="Times New Roman" w:hAnsi="Verdana" w:cs="Times New Roman"/>
          <w:bCs/>
          <w:i/>
          <w:color w:val="000000"/>
          <w:sz w:val="24"/>
          <w:szCs w:val="24"/>
          <w:lang w:eastAsia="en-CA"/>
        </w:rPr>
        <w:t>WR 12.1(3)(b)</w:t>
      </w:r>
    </w:p>
    <w:p w:rsidR="00C26E15" w:rsidRDefault="00436D1B" w:rsidP="00C26E15">
      <w:pPr>
        <w:pStyle w:val="ListParagraph"/>
        <w:numPr>
          <w:ilvl w:val="0"/>
          <w:numId w:val="4"/>
        </w:numPr>
        <w:spacing w:before="120" w:after="0" w:line="288" w:lineRule="atLeast"/>
        <w:contextualSpacing w:val="0"/>
        <w:outlineLvl w:val="3"/>
        <w:rPr>
          <w:rFonts w:ascii="Verdana" w:eastAsia="Times New Roman" w:hAnsi="Verdana" w:cs="Times New Roman"/>
          <w:bCs/>
          <w:color w:val="000000"/>
          <w:sz w:val="24"/>
          <w:szCs w:val="24"/>
          <w:lang w:eastAsia="en-CA"/>
        </w:rPr>
      </w:pPr>
      <w:r w:rsidRPr="00D31363">
        <w:rPr>
          <w:rFonts w:ascii="Verdana" w:eastAsia="Times New Roman" w:hAnsi="Verdana" w:cs="Times New Roman"/>
          <w:bCs/>
          <w:color w:val="000000"/>
          <w:sz w:val="24"/>
          <w:szCs w:val="24"/>
          <w:lang w:eastAsia="en-CA"/>
        </w:rPr>
        <w:t>An official</w:t>
      </w:r>
      <w:r w:rsidR="00FA7076" w:rsidRPr="00D31363">
        <w:rPr>
          <w:rFonts w:ascii="Verdana" w:eastAsia="Times New Roman" w:hAnsi="Verdana" w:cs="Times New Roman"/>
          <w:bCs/>
          <w:color w:val="000000"/>
          <w:sz w:val="24"/>
          <w:szCs w:val="24"/>
          <w:lang w:eastAsia="en-CA"/>
        </w:rPr>
        <w:t xml:space="preserve"> may identify circumstances</w:t>
      </w:r>
      <w:r w:rsidRPr="00D31363">
        <w:rPr>
          <w:rFonts w:ascii="Verdana" w:eastAsia="Times New Roman" w:hAnsi="Verdana" w:cs="Times New Roman"/>
          <w:bCs/>
          <w:color w:val="000000"/>
          <w:sz w:val="24"/>
          <w:szCs w:val="24"/>
          <w:lang w:eastAsia="en-CA"/>
        </w:rPr>
        <w:t xml:space="preserve"> </w:t>
      </w:r>
      <w:r w:rsidR="00B70334">
        <w:rPr>
          <w:rFonts w:ascii="Verdana" w:eastAsia="Times New Roman" w:hAnsi="Verdana" w:cs="Times New Roman"/>
          <w:bCs/>
          <w:color w:val="000000"/>
          <w:sz w:val="24"/>
          <w:szCs w:val="24"/>
          <w:lang w:eastAsia="en-CA"/>
        </w:rPr>
        <w:t xml:space="preserve">they consider constitutes a fire hazard and, by written order, may require applicable person to abate said fire hazard by a specified date. The person who is subject to this order must comply – </w:t>
      </w:r>
      <w:r w:rsidR="00B70334">
        <w:rPr>
          <w:rFonts w:ascii="Verdana" w:eastAsia="Times New Roman" w:hAnsi="Verdana" w:cs="Times New Roman"/>
          <w:bCs/>
          <w:i/>
          <w:color w:val="000000"/>
          <w:sz w:val="24"/>
          <w:szCs w:val="24"/>
          <w:lang w:eastAsia="en-CA"/>
        </w:rPr>
        <w:t>WA 7(3) and 7(4)</w:t>
      </w:r>
    </w:p>
    <w:p w:rsidR="004F38DA" w:rsidRPr="00D31363" w:rsidRDefault="004F38DA" w:rsidP="00B448F2">
      <w:pPr>
        <w:pStyle w:val="ListParagraph"/>
        <w:spacing w:before="360" w:after="0" w:line="288" w:lineRule="atLeast"/>
        <w:outlineLvl w:val="3"/>
        <w:rPr>
          <w:rFonts w:ascii="Verdana" w:eastAsia="Times New Roman" w:hAnsi="Verdana" w:cs="Times New Roman"/>
          <w:bCs/>
          <w:color w:val="000000"/>
          <w:sz w:val="28"/>
          <w:szCs w:val="28"/>
          <w:lang w:eastAsia="en-CA"/>
        </w:rPr>
      </w:pPr>
    </w:p>
    <w:p w:rsidR="00B4262A" w:rsidRPr="00D31363" w:rsidRDefault="00B70334">
      <w:pPr>
        <w:rPr>
          <w:rFonts w:ascii="Verdana" w:eastAsia="Times New Roman" w:hAnsi="Verdana" w:cs="Times New Roman"/>
          <w:b/>
          <w:bCs/>
          <w:color w:val="000000"/>
          <w:sz w:val="28"/>
          <w:szCs w:val="28"/>
          <w:u w:val="single"/>
          <w:lang w:eastAsia="en-CA"/>
        </w:rPr>
      </w:pPr>
      <w:r>
        <w:rPr>
          <w:rFonts w:ascii="Verdana" w:eastAsia="Times New Roman" w:hAnsi="Verdana" w:cs="Times New Roman"/>
          <w:b/>
          <w:bCs/>
          <w:color w:val="000000"/>
          <w:sz w:val="28"/>
          <w:szCs w:val="28"/>
          <w:u w:val="single"/>
          <w:lang w:eastAsia="en-CA"/>
        </w:rPr>
        <w:br w:type="page"/>
      </w:r>
    </w:p>
    <w:p w:rsidR="003F0D5C" w:rsidRPr="00D31363" w:rsidRDefault="00B70334" w:rsidP="003752B6">
      <w:pPr>
        <w:spacing w:before="360" w:after="0" w:line="288" w:lineRule="atLeast"/>
        <w:outlineLvl w:val="3"/>
        <w:rPr>
          <w:rFonts w:ascii="Verdana" w:eastAsia="Times New Roman" w:hAnsi="Verdana" w:cs="Times New Roman"/>
          <w:b/>
          <w:bCs/>
          <w:color w:val="000000"/>
          <w:sz w:val="28"/>
          <w:szCs w:val="28"/>
          <w:u w:val="single"/>
          <w:lang w:eastAsia="en-CA"/>
        </w:rPr>
      </w:pPr>
      <w:r>
        <w:rPr>
          <w:rFonts w:ascii="Verdana" w:eastAsia="Times New Roman" w:hAnsi="Verdana" w:cs="Times New Roman"/>
          <w:b/>
          <w:bCs/>
          <w:color w:val="000000"/>
          <w:sz w:val="28"/>
          <w:szCs w:val="28"/>
          <w:u w:val="single"/>
          <w:lang w:eastAsia="en-CA"/>
        </w:rPr>
        <w:lastRenderedPageBreak/>
        <w:t>THE WILDFIRE ACT</w:t>
      </w:r>
    </w:p>
    <w:p w:rsidR="00EE2956" w:rsidRPr="00D31363" w:rsidRDefault="00C26E15" w:rsidP="00EE2956">
      <w:pPr>
        <w:spacing w:before="360" w:after="0" w:line="288" w:lineRule="atLeast"/>
        <w:outlineLvl w:val="3"/>
        <w:rPr>
          <w:rFonts w:ascii="Verdana" w:eastAsia="Times New Roman" w:hAnsi="Verdana" w:cs="Times New Roman"/>
          <w:b/>
          <w:bCs/>
          <w:color w:val="000000"/>
          <w:lang w:eastAsia="en-CA"/>
        </w:rPr>
      </w:pPr>
      <w:bookmarkStart w:id="2" w:name="section3"/>
      <w:bookmarkStart w:id="3" w:name="section4"/>
      <w:bookmarkEnd w:id="2"/>
      <w:r w:rsidRPr="00C26E15">
        <w:rPr>
          <w:rFonts w:ascii="Verdana" w:eastAsia="Times New Roman" w:hAnsi="Verdana" w:cs="Times New Roman"/>
          <w:b/>
          <w:bCs/>
          <w:color w:val="000000"/>
          <w:lang w:eastAsia="en-CA"/>
        </w:rPr>
        <w:t>Use of open fires — application</w:t>
      </w:r>
    </w:p>
    <w:p w:rsidR="00EE2956" w:rsidRPr="00D31363" w:rsidRDefault="00C26E15" w:rsidP="0055284D">
      <w:pPr>
        <w:spacing w:after="168" w:line="360" w:lineRule="atLeast"/>
        <w:ind w:left="1464" w:hanging="348"/>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4</w:t>
      </w:r>
      <w:r w:rsidR="00EE2956" w:rsidRPr="00D31363">
        <w:rPr>
          <w:rFonts w:ascii="Verdana" w:eastAsia="Times New Roman" w:hAnsi="Verdana" w:cs="Times New Roman"/>
          <w:color w:val="000000"/>
          <w:lang w:eastAsia="en-CA"/>
        </w:rPr>
        <w:t>  (1) Sections 5 and 6 do not apply inside the boundaries of</w:t>
      </w:r>
    </w:p>
    <w:p w:rsidR="00EE2956" w:rsidRPr="00D31363" w:rsidRDefault="00EE2956" w:rsidP="0055284D">
      <w:pPr>
        <w:spacing w:after="0" w:line="360" w:lineRule="atLeast"/>
        <w:ind w:left="26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(a) the City of Vancouver, or</w:t>
      </w:r>
    </w:p>
    <w:p w:rsidR="00EE2956" w:rsidRPr="00D31363" w:rsidRDefault="00EE2956" w:rsidP="0055284D">
      <w:pPr>
        <w:spacing w:after="0" w:line="360" w:lineRule="atLeast"/>
        <w:ind w:left="26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a municipality that is not a prescribed municipality referred to in subsection (2).</w:t>
      </w:r>
    </w:p>
    <w:p w:rsidR="0055284D" w:rsidRPr="00D31363" w:rsidRDefault="0055284D" w:rsidP="0055284D">
      <w:pPr>
        <w:spacing w:after="0" w:line="360" w:lineRule="atLeast"/>
        <w:ind w:left="2640"/>
        <w:rPr>
          <w:rFonts w:ascii="Verdana" w:eastAsia="Times New Roman" w:hAnsi="Verdana" w:cs="Times New Roman"/>
          <w:color w:val="000000"/>
          <w:lang w:eastAsia="en-CA"/>
        </w:rPr>
      </w:pPr>
    </w:p>
    <w:p w:rsidR="00EE2956" w:rsidRPr="00D31363" w:rsidRDefault="00EE2956" w:rsidP="0055284D">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(2) Sections 5 and 6 apply to all areas inside the boundaries of a prescribed municipality, or of a local government that is a local government under paragraphs (c) to (f) o</w:t>
      </w:r>
      <w:r w:rsidR="00C26E15" w:rsidRPr="00C26E15">
        <w:rPr>
          <w:rFonts w:ascii="Verdana" w:eastAsia="Times New Roman" w:hAnsi="Verdana" w:cs="Times New Roman"/>
          <w:color w:val="000000"/>
          <w:lang w:eastAsia="en-CA"/>
        </w:rPr>
        <w:t>f the definition of "local government" in section 1, except the areas in respect of which the municipality or the local government has a bylaw that</w:t>
      </w:r>
    </w:p>
    <w:p w:rsidR="00EE2956" w:rsidRPr="00D31363" w:rsidRDefault="00C26E15" w:rsidP="0055284D">
      <w:pPr>
        <w:spacing w:after="0" w:line="360" w:lineRule="atLeast"/>
        <w:ind w:left="264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(a) relates to the lighting, fueling or use of open fires in the area, and</w:t>
      </w:r>
    </w:p>
    <w:p w:rsidR="00EE2956" w:rsidRPr="00D31363" w:rsidRDefault="00C26E15" w:rsidP="0055284D">
      <w:pPr>
        <w:spacing w:after="0" w:line="360" w:lineRule="atLeast"/>
        <w:ind w:left="264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(b) meets prescribed criteria.</w:t>
      </w:r>
    </w:p>
    <w:p w:rsidR="00EE2956" w:rsidRPr="00D31363" w:rsidRDefault="00C26E15" w:rsidP="0055284D">
      <w:pPr>
        <w:spacing w:after="0" w:line="360" w:lineRule="atLeast"/>
        <w:ind w:left="1344"/>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(3) Despite subsections (1) and (2), and except in prescribed circumstances, sections 5 and 6 apply to areas of private managed forest land as defined in the </w:t>
      </w:r>
      <w:r w:rsidRPr="00C26E15">
        <w:rPr>
          <w:rFonts w:ascii="Verdana" w:eastAsia="Times New Roman" w:hAnsi="Verdana" w:cs="Times New Roman"/>
          <w:i/>
          <w:iCs/>
          <w:color w:val="000000"/>
          <w:lang w:eastAsia="en-CA"/>
        </w:rPr>
        <w:t>Private Managed Forest Land Act</w:t>
      </w:r>
      <w:r w:rsidRPr="00C26E15">
        <w:rPr>
          <w:rFonts w:ascii="Verdana" w:eastAsia="Times New Roman" w:hAnsi="Verdana" w:cs="Times New Roman"/>
          <w:color w:val="000000"/>
          <w:lang w:eastAsia="en-CA"/>
        </w:rPr>
        <w:t>.</w:t>
      </w:r>
    </w:p>
    <w:bookmarkEnd w:id="3"/>
    <w:p w:rsidR="00EE2956" w:rsidRPr="00D31363" w:rsidRDefault="00EE2956" w:rsidP="0055284D">
      <w:pPr>
        <w:spacing w:after="0" w:line="288" w:lineRule="atLeast"/>
        <w:outlineLvl w:val="3"/>
        <w:rPr>
          <w:rFonts w:ascii="Verdana" w:eastAsia="Times New Roman" w:hAnsi="Verdana" w:cs="Times New Roman"/>
          <w:b/>
          <w:bCs/>
          <w:color w:val="000000"/>
          <w:lang w:eastAsia="en-CA"/>
        </w:rPr>
      </w:pPr>
    </w:p>
    <w:p w:rsidR="003752B6" w:rsidRPr="00D31363" w:rsidRDefault="00C26E15" w:rsidP="003752B6">
      <w:pPr>
        <w:spacing w:after="0" w:line="288" w:lineRule="atLeast"/>
        <w:outlineLvl w:val="3"/>
        <w:rPr>
          <w:rFonts w:ascii="Verdana" w:eastAsia="Times New Roman" w:hAnsi="Verdana" w:cs="Times New Roman"/>
          <w:b/>
          <w:bCs/>
          <w:color w:val="000000"/>
          <w:lang w:eastAsia="en-CA"/>
        </w:rPr>
      </w:pPr>
      <w:r w:rsidRPr="00C26E15">
        <w:rPr>
          <w:rFonts w:ascii="Verdana" w:eastAsia="Times New Roman" w:hAnsi="Verdana" w:cs="Times New Roman"/>
          <w:b/>
          <w:bCs/>
          <w:color w:val="000000"/>
          <w:lang w:eastAsia="en-CA"/>
        </w:rPr>
        <w:t>Hazard assessment and abatement</w:t>
      </w:r>
    </w:p>
    <w:p w:rsidR="003752B6" w:rsidRPr="00D31363" w:rsidRDefault="00C26E15" w:rsidP="003752B6">
      <w:pPr>
        <w:spacing w:after="168" w:line="360" w:lineRule="atLeast"/>
        <w:ind w:left="1464" w:hanging="348"/>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7</w:t>
      </w:r>
      <w:r w:rsidR="003752B6" w:rsidRPr="00D31363">
        <w:rPr>
          <w:rFonts w:ascii="Verdana" w:eastAsia="Times New Roman" w:hAnsi="Verdana" w:cs="Times New Roman"/>
          <w:color w:val="000000"/>
          <w:lang w:eastAsia="en-CA"/>
        </w:rPr>
        <w:t>  (1) In prescribed circumstances and at prescribed intervals, a person carrying out an industrial activity or a prescribed activity on forest land or grass land or within 1 km of forest land or grass land must conduct fire hazard assessments.</w:t>
      </w:r>
    </w:p>
    <w:p w:rsidR="003752B6" w:rsidRDefault="003752B6" w:rsidP="003752B6">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(2) A person, other than a person who is in a prescribed class of persons referred to in subsection (2.1), carrying out an industrial activity or a prescribed activity, must, within a prescribed time period and to the prescribed extent, abate a fire hazard of which the person is aware or ought reasonably to be aware.</w:t>
      </w:r>
    </w:p>
    <w:p w:rsidR="00691587" w:rsidRPr="00D31363" w:rsidRDefault="00691587" w:rsidP="003752B6">
      <w:pPr>
        <w:spacing w:after="0" w:line="360" w:lineRule="atLeast"/>
        <w:ind w:left="1344"/>
        <w:rPr>
          <w:rFonts w:ascii="Verdana" w:eastAsia="Times New Roman" w:hAnsi="Verdana" w:cs="Times New Roman"/>
          <w:color w:val="000000"/>
          <w:lang w:eastAsia="en-CA"/>
        </w:rPr>
      </w:pPr>
    </w:p>
    <w:p w:rsidR="003752B6" w:rsidRPr="00D31363" w:rsidRDefault="003752B6" w:rsidP="003752B6">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(2.1) A person who is in a prescribed class of persons must, within the prescribed time period and to the prescribed extent, abate a fire hazard on a prescribed area.</w:t>
      </w:r>
    </w:p>
    <w:p w:rsidR="003752B6" w:rsidRDefault="003752B6" w:rsidP="003752B6">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lastRenderedPageBreak/>
        <w:t>(2.2) A person referred to in subsection (2) is not required to abate a fire hazard on an area if a person referred to in subsection (2.1) is required to abate the fire hazard.</w:t>
      </w:r>
    </w:p>
    <w:p w:rsidR="00691587" w:rsidRPr="00D31363" w:rsidRDefault="00691587" w:rsidP="003752B6">
      <w:pPr>
        <w:spacing w:after="0" w:line="360" w:lineRule="atLeast"/>
        <w:ind w:left="1344"/>
        <w:rPr>
          <w:rFonts w:ascii="Verdana" w:eastAsia="Times New Roman" w:hAnsi="Verdana" w:cs="Times New Roman"/>
          <w:color w:val="000000"/>
          <w:lang w:eastAsia="en-CA"/>
        </w:rPr>
      </w:pPr>
    </w:p>
    <w:p w:rsidR="003752B6" w:rsidRPr="00D31363" w:rsidRDefault="003752B6" w:rsidP="003752B6">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(3) Despite subsections (2) and (2.1), if an official identifies circumstances that the official considers constitute a fire hazard in relation to</w:t>
      </w:r>
    </w:p>
    <w:p w:rsidR="003752B6" w:rsidRPr="00D31363" w:rsidRDefault="003752B6" w:rsidP="003752B6">
      <w:pPr>
        <w:spacing w:after="0" w:line="360" w:lineRule="atLeast"/>
        <w:ind w:left="26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(a) an industrial activity, or</w:t>
      </w:r>
    </w:p>
    <w:p w:rsidR="003752B6" w:rsidRPr="00D31363" w:rsidRDefault="00C26E15" w:rsidP="003752B6">
      <w:pPr>
        <w:spacing w:after="0" w:line="360" w:lineRule="atLeast"/>
        <w:ind w:left="264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(b) a prescribed activity referred to in subsection (2),</w:t>
      </w:r>
    </w:p>
    <w:p w:rsidR="003752B6" w:rsidRDefault="00C26E15" w:rsidP="003752B6">
      <w:pPr>
        <w:spacing w:after="0" w:line="360" w:lineRule="atLeast"/>
        <w:ind w:left="1344"/>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the official by written order may require the applicable person to abate the fire hazard by a specified date.</w:t>
      </w:r>
    </w:p>
    <w:p w:rsidR="00691587" w:rsidRPr="00D31363" w:rsidRDefault="00691587" w:rsidP="003752B6">
      <w:pPr>
        <w:spacing w:after="0" w:line="360" w:lineRule="atLeast"/>
        <w:ind w:left="1344"/>
        <w:rPr>
          <w:rFonts w:ascii="Verdana" w:eastAsia="Times New Roman" w:hAnsi="Verdana" w:cs="Times New Roman"/>
          <w:color w:val="000000"/>
          <w:lang w:eastAsia="en-CA"/>
        </w:rPr>
      </w:pPr>
    </w:p>
    <w:p w:rsidR="00210118" w:rsidRPr="00D31363" w:rsidRDefault="003752B6" w:rsidP="00210118">
      <w:pPr>
        <w:spacing w:after="0" w:line="360" w:lineRule="atLeast"/>
        <w:ind w:left="1344"/>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(4) A person who is the subject of an order under subsection (3) and to whom written notice of the order has been given must comply with the order.</w:t>
      </w:r>
      <w:bookmarkEnd w:id="1"/>
    </w:p>
    <w:p w:rsidR="0066360D" w:rsidRPr="00D31363" w:rsidRDefault="0066360D" w:rsidP="00210118">
      <w:pPr>
        <w:spacing w:after="0" w:line="360" w:lineRule="atLeast"/>
        <w:ind w:left="1344"/>
        <w:rPr>
          <w:rFonts w:ascii="Verdana" w:hAnsi="Verdana"/>
          <w:b/>
          <w:sz w:val="28"/>
          <w:szCs w:val="28"/>
          <w:u w:val="single"/>
        </w:rPr>
      </w:pPr>
    </w:p>
    <w:p w:rsidR="00C26E15" w:rsidRDefault="00C26E15" w:rsidP="00C26E15">
      <w:pPr>
        <w:spacing w:after="0" w:line="360" w:lineRule="atLeast"/>
        <w:rPr>
          <w:rFonts w:ascii="Verdana" w:eastAsia="Times New Roman" w:hAnsi="Verdana" w:cs="Times New Roman"/>
          <w:color w:val="000000"/>
          <w:lang w:eastAsia="en-CA"/>
        </w:rPr>
      </w:pPr>
      <w:r w:rsidRPr="00C26E15">
        <w:rPr>
          <w:rFonts w:ascii="Verdana" w:hAnsi="Verdana"/>
          <w:b/>
          <w:sz w:val="28"/>
          <w:szCs w:val="28"/>
          <w:u w:val="single"/>
        </w:rPr>
        <w:t>WILDFIRE ACT DEFINITIONS (relevant)</w:t>
      </w:r>
    </w:p>
    <w:p w:rsidR="00C26E15" w:rsidRDefault="00B61ECA" w:rsidP="00C26E15">
      <w:pPr>
        <w:pStyle w:val="def"/>
        <w:spacing w:line="240" w:lineRule="auto"/>
        <w:rPr>
          <w:sz w:val="22"/>
          <w:szCs w:val="22"/>
        </w:rPr>
      </w:pPr>
      <w:r w:rsidRPr="00D31363">
        <w:rPr>
          <w:rStyle w:val="Strong"/>
          <w:sz w:val="22"/>
          <w:szCs w:val="22"/>
        </w:rPr>
        <w:t>"industrial activity"</w:t>
      </w:r>
      <w:r w:rsidRPr="00D31363">
        <w:rPr>
          <w:sz w:val="22"/>
          <w:szCs w:val="22"/>
        </w:rPr>
        <w:t> includes</w:t>
      </w:r>
    </w:p>
    <w:p w:rsidR="00C26E15" w:rsidRDefault="00B61ECA" w:rsidP="00C26E15">
      <w:pPr>
        <w:pStyle w:val="para"/>
        <w:spacing w:line="240" w:lineRule="auto"/>
        <w:rPr>
          <w:sz w:val="22"/>
          <w:szCs w:val="22"/>
        </w:rPr>
      </w:pPr>
      <w:r w:rsidRPr="00D31363">
        <w:rPr>
          <w:sz w:val="22"/>
          <w:szCs w:val="22"/>
        </w:rPr>
        <w:t>(a) land clearing, and</w:t>
      </w:r>
    </w:p>
    <w:p w:rsidR="00C26E15" w:rsidRDefault="00B61ECA" w:rsidP="00C26E15">
      <w:pPr>
        <w:pStyle w:val="para"/>
        <w:spacing w:line="240" w:lineRule="auto"/>
        <w:rPr>
          <w:sz w:val="22"/>
          <w:szCs w:val="22"/>
        </w:rPr>
      </w:pPr>
      <w:r w:rsidRPr="00D31363">
        <w:rPr>
          <w:sz w:val="22"/>
          <w:szCs w:val="22"/>
        </w:rPr>
        <w:t>(b) other activities included in this definition by regulation,</w:t>
      </w:r>
    </w:p>
    <w:p w:rsidR="00C26E15" w:rsidRDefault="00B61ECA" w:rsidP="00C26E15">
      <w:pPr>
        <w:pStyle w:val="defsandwich"/>
        <w:spacing w:line="240" w:lineRule="auto"/>
        <w:rPr>
          <w:sz w:val="22"/>
          <w:szCs w:val="22"/>
        </w:rPr>
      </w:pPr>
      <w:r w:rsidRPr="00D31363">
        <w:rPr>
          <w:sz w:val="22"/>
          <w:szCs w:val="22"/>
        </w:rPr>
        <w:t>but does not include activities excluded from this definition by regulation;</w:t>
      </w:r>
    </w:p>
    <w:p w:rsidR="00B61ECA" w:rsidRPr="00D31363" w:rsidRDefault="00B70334" w:rsidP="00B61ECA">
      <w:pPr>
        <w:pStyle w:val="def"/>
        <w:rPr>
          <w:sz w:val="22"/>
          <w:szCs w:val="22"/>
        </w:rPr>
      </w:pPr>
      <w:r>
        <w:rPr>
          <w:rStyle w:val="Strong"/>
          <w:sz w:val="22"/>
          <w:szCs w:val="22"/>
        </w:rPr>
        <w:t>"local government"</w:t>
      </w:r>
      <w:r w:rsidR="00C26E15" w:rsidRPr="00C26E15">
        <w:rPr>
          <w:sz w:val="22"/>
          <w:szCs w:val="22"/>
        </w:rPr>
        <w:t> means</w:t>
      </w:r>
    </w:p>
    <w:p w:rsidR="00C26E15" w:rsidRDefault="00C26E15" w:rsidP="00C26E15">
      <w:pPr>
        <w:pStyle w:val="para"/>
        <w:spacing w:before="0" w:line="240" w:lineRule="auto"/>
        <w:rPr>
          <w:sz w:val="22"/>
          <w:szCs w:val="22"/>
        </w:rPr>
      </w:pPr>
      <w:r w:rsidRPr="00C26E15">
        <w:rPr>
          <w:sz w:val="22"/>
          <w:szCs w:val="22"/>
        </w:rPr>
        <w:t>(a) the City of Vancouver,</w:t>
      </w:r>
    </w:p>
    <w:p w:rsidR="00C26E15" w:rsidRDefault="00C26E15" w:rsidP="00C26E15">
      <w:pPr>
        <w:pStyle w:val="para"/>
        <w:spacing w:before="0" w:line="240" w:lineRule="auto"/>
        <w:rPr>
          <w:sz w:val="22"/>
          <w:szCs w:val="22"/>
        </w:rPr>
      </w:pPr>
      <w:r w:rsidRPr="00C26E15">
        <w:rPr>
          <w:sz w:val="22"/>
          <w:szCs w:val="22"/>
        </w:rPr>
        <w:t>(b) a municipality,</w:t>
      </w:r>
    </w:p>
    <w:p w:rsidR="00C26E15" w:rsidRDefault="00C26E15" w:rsidP="00C26E15">
      <w:pPr>
        <w:pStyle w:val="para"/>
        <w:spacing w:before="0" w:line="240" w:lineRule="auto"/>
        <w:rPr>
          <w:sz w:val="22"/>
          <w:szCs w:val="22"/>
        </w:rPr>
      </w:pPr>
      <w:r w:rsidRPr="00C26E15">
        <w:rPr>
          <w:sz w:val="22"/>
          <w:szCs w:val="22"/>
        </w:rPr>
        <w:t>(c) a regional district,</w:t>
      </w:r>
    </w:p>
    <w:p w:rsidR="00C26E15" w:rsidRDefault="00C26E15" w:rsidP="00C26E15">
      <w:pPr>
        <w:pStyle w:val="para"/>
        <w:spacing w:before="0" w:line="240" w:lineRule="auto"/>
        <w:rPr>
          <w:sz w:val="22"/>
          <w:szCs w:val="22"/>
        </w:rPr>
      </w:pPr>
      <w:r w:rsidRPr="00C26E15">
        <w:rPr>
          <w:sz w:val="22"/>
          <w:szCs w:val="22"/>
        </w:rPr>
        <w:t>(d) an improvement district,</w:t>
      </w:r>
    </w:p>
    <w:p w:rsidR="00C26E15" w:rsidRDefault="00C26E15" w:rsidP="00C26E15">
      <w:pPr>
        <w:pStyle w:val="para"/>
        <w:spacing w:before="0" w:line="240" w:lineRule="auto"/>
        <w:rPr>
          <w:sz w:val="22"/>
          <w:szCs w:val="22"/>
        </w:rPr>
      </w:pPr>
      <w:r w:rsidRPr="00C26E15">
        <w:rPr>
          <w:sz w:val="22"/>
          <w:szCs w:val="22"/>
        </w:rPr>
        <w:t>(e) a water improvement district, or</w:t>
      </w:r>
    </w:p>
    <w:p w:rsidR="00C26E15" w:rsidRDefault="00C26E15" w:rsidP="00C26E15">
      <w:pPr>
        <w:pStyle w:val="para"/>
        <w:spacing w:before="0" w:line="240" w:lineRule="auto"/>
        <w:rPr>
          <w:sz w:val="22"/>
          <w:szCs w:val="22"/>
        </w:rPr>
      </w:pPr>
      <w:r w:rsidRPr="00C26E15">
        <w:rPr>
          <w:sz w:val="22"/>
          <w:szCs w:val="22"/>
        </w:rPr>
        <w:t>(f) a prescribed organization;</w:t>
      </w:r>
    </w:p>
    <w:p w:rsidR="00C26E15" w:rsidRDefault="00C26E15" w:rsidP="00C26E15">
      <w:pPr>
        <w:pStyle w:val="para"/>
        <w:spacing w:before="0" w:line="240" w:lineRule="auto"/>
        <w:rPr>
          <w:sz w:val="22"/>
          <w:szCs w:val="22"/>
        </w:rPr>
      </w:pPr>
    </w:p>
    <w:p w:rsidR="00C26E15" w:rsidRDefault="00C26E15" w:rsidP="00C26E15">
      <w:pPr>
        <w:pStyle w:val="para"/>
        <w:spacing w:before="0" w:line="240" w:lineRule="auto"/>
        <w:rPr>
          <w:sz w:val="22"/>
          <w:szCs w:val="22"/>
        </w:rPr>
      </w:pPr>
    </w:p>
    <w:p w:rsidR="00C26E15" w:rsidRDefault="00B61ECA" w:rsidP="00C26E15">
      <w:pPr>
        <w:pStyle w:val="def"/>
        <w:spacing w:before="0"/>
        <w:rPr>
          <w:sz w:val="22"/>
          <w:szCs w:val="22"/>
        </w:rPr>
      </w:pPr>
      <w:r w:rsidRPr="00D31363">
        <w:rPr>
          <w:rStyle w:val="Strong"/>
          <w:sz w:val="22"/>
          <w:szCs w:val="22"/>
        </w:rPr>
        <w:t>"official"</w:t>
      </w:r>
      <w:r w:rsidRPr="00D31363">
        <w:rPr>
          <w:sz w:val="22"/>
          <w:szCs w:val="22"/>
        </w:rPr>
        <w:t> means a person</w:t>
      </w:r>
    </w:p>
    <w:p w:rsidR="00B61ECA" w:rsidRPr="00D31363" w:rsidRDefault="00B61ECA" w:rsidP="00B4262A">
      <w:pPr>
        <w:pStyle w:val="para"/>
        <w:spacing w:line="240" w:lineRule="auto"/>
        <w:rPr>
          <w:sz w:val="22"/>
          <w:szCs w:val="22"/>
        </w:rPr>
      </w:pPr>
      <w:r w:rsidRPr="00D31363">
        <w:rPr>
          <w:sz w:val="22"/>
          <w:szCs w:val="22"/>
        </w:rPr>
        <w:t>(a) employed in the ministry of the minister responsible for the administration of this Act, who is designated by name or title to be an official by the minister for the purpose of a provision of this Act or of the regulations that is specified in the designation,</w:t>
      </w:r>
    </w:p>
    <w:p w:rsidR="003F0D5C" w:rsidRPr="00D31363" w:rsidRDefault="003F0D5C" w:rsidP="003F0D5C">
      <w:pPr>
        <w:spacing w:before="360" w:after="0" w:line="288" w:lineRule="atLeast"/>
        <w:outlineLvl w:val="3"/>
        <w:rPr>
          <w:rFonts w:ascii="Verdana" w:eastAsia="Times New Roman" w:hAnsi="Verdana" w:cs="Times New Roman"/>
          <w:b/>
          <w:bCs/>
          <w:color w:val="000000"/>
          <w:sz w:val="28"/>
          <w:szCs w:val="28"/>
          <w:u w:val="single"/>
          <w:lang w:eastAsia="en-CA"/>
        </w:rPr>
      </w:pPr>
      <w:r w:rsidRPr="00D31363">
        <w:rPr>
          <w:rFonts w:ascii="Verdana" w:eastAsia="Times New Roman" w:hAnsi="Verdana" w:cs="Times New Roman"/>
          <w:b/>
          <w:bCs/>
          <w:color w:val="000000"/>
          <w:sz w:val="28"/>
          <w:szCs w:val="28"/>
          <w:u w:val="single"/>
          <w:lang w:eastAsia="en-CA"/>
        </w:rPr>
        <w:lastRenderedPageBreak/>
        <w:t>THE WILDFIRE REGULATION</w:t>
      </w:r>
    </w:p>
    <w:p w:rsidR="003752B6" w:rsidRPr="00D31363" w:rsidRDefault="003752B6">
      <w:pPr>
        <w:rPr>
          <w:rFonts w:ascii="Verdana" w:hAnsi="Verdana"/>
        </w:rPr>
      </w:pPr>
    </w:p>
    <w:p w:rsidR="003752B6" w:rsidRPr="00D31363" w:rsidRDefault="003752B6" w:rsidP="003752B6">
      <w:pPr>
        <w:spacing w:after="168" w:line="360" w:lineRule="atLeast"/>
        <w:jc w:val="center"/>
        <w:rPr>
          <w:rFonts w:ascii="Verdana" w:eastAsia="Times New Roman" w:hAnsi="Verdana" w:cs="Times New Roman"/>
          <w:b/>
          <w:bCs/>
          <w:color w:val="000000"/>
          <w:sz w:val="24"/>
          <w:szCs w:val="24"/>
          <w:lang w:eastAsia="en-CA"/>
        </w:rPr>
      </w:pPr>
      <w:bookmarkStart w:id="4" w:name="part2_division2"/>
      <w:bookmarkEnd w:id="4"/>
      <w:r w:rsidRPr="00D31363">
        <w:rPr>
          <w:rFonts w:ascii="Verdana" w:eastAsia="Times New Roman" w:hAnsi="Verdana" w:cs="Times New Roman"/>
          <w:b/>
          <w:bCs/>
          <w:color w:val="000000"/>
          <w:sz w:val="24"/>
          <w:szCs w:val="24"/>
          <w:lang w:eastAsia="en-CA"/>
        </w:rPr>
        <w:t xml:space="preserve">Division 2 — Fire Hazard Assessment and Abatement </w:t>
      </w:r>
    </w:p>
    <w:p w:rsidR="00C26E15" w:rsidRDefault="003752B6" w:rsidP="00C26E15">
      <w:pPr>
        <w:spacing w:after="0" w:line="240" w:lineRule="auto"/>
        <w:outlineLvl w:val="3"/>
        <w:rPr>
          <w:rFonts w:ascii="Verdana" w:eastAsia="Times New Roman" w:hAnsi="Verdana" w:cs="Times New Roman"/>
          <w:b/>
          <w:bCs/>
          <w:color w:val="000000"/>
          <w:lang w:eastAsia="en-CA"/>
        </w:rPr>
      </w:pPr>
      <w:bookmarkStart w:id="5" w:name="section11"/>
      <w:bookmarkEnd w:id="5"/>
      <w:r w:rsidRPr="00D31363">
        <w:rPr>
          <w:rFonts w:ascii="Verdana" w:eastAsia="Times New Roman" w:hAnsi="Verdana" w:cs="Times New Roman"/>
          <w:b/>
          <w:bCs/>
          <w:color w:val="000000"/>
          <w:lang w:eastAsia="en-CA"/>
        </w:rPr>
        <w:t xml:space="preserve">Hazard assessment </w:t>
      </w:r>
    </w:p>
    <w:p w:rsidR="00C26E15" w:rsidRDefault="00C26E15" w:rsidP="00C26E15">
      <w:pPr>
        <w:spacing w:after="168" w:line="240" w:lineRule="auto"/>
        <w:ind w:left="1260" w:hanging="708"/>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11</w:t>
      </w:r>
      <w:r w:rsidR="003752B6" w:rsidRPr="00D31363">
        <w:rPr>
          <w:rFonts w:ascii="Verdana" w:eastAsia="Times New Roman" w:hAnsi="Verdana" w:cs="Times New Roman"/>
          <w:color w:val="000000"/>
          <w:lang w:eastAsia="en-CA"/>
        </w:rPr>
        <w:t xml:space="preserve"> (1)  For the purposes of section 7 of the Act, </w:t>
      </w:r>
    </w:p>
    <w:p w:rsidR="00C26E15" w:rsidRDefault="003752B6" w:rsidP="00C26E15">
      <w:pPr>
        <w:spacing w:after="0" w:line="240" w:lineRule="auto"/>
        <w:ind w:left="14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each of the following is a prescribed activity under subsections (1) and (2) of that section: </w:t>
      </w: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  operating a waste disposal site;</w:t>
      </w: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  operating a dry land sort;</w:t>
      </w: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(iii)  operating a camp associated with an industrial activity, and</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14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each of the following is a prescribed circumstance under subsection (1) of that section:</w:t>
      </w: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  an industrial activity or an activity prescribed under paragraph (a) of subsection (1) creates or increases a fire hazard or is likely to do so;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(ii)  an official notifies a person carrying out an industrial activity or an activity prescribed under paragraph (a) of subsection (1) that a fire hazard exists at the site of the activity or operation.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(2)  Subject to subsection (3.1) of this section, the prescribed intervals, at which persons described in section 7 (1) of the Act must conduct fire hazard assessments, are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ind w:left="180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3 month intervals during the period in which the persons are carrying on the industrial activity or the prescribed activity in an area inside, or within 2 km of, the boundaries of </w:t>
      </w:r>
    </w:p>
    <w:p w:rsidR="00C26E15" w:rsidRDefault="003752B6" w:rsidP="00C26E15">
      <w:pPr>
        <w:spacing w:after="0" w:line="240" w:lineRule="auto"/>
        <w:ind w:left="252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  a local government under paragraphs (d) to (f) of the definition of "local government" in section 1 of the Act, or </w:t>
      </w:r>
    </w:p>
    <w:p w:rsidR="00C26E15" w:rsidRDefault="003752B6" w:rsidP="00C26E15">
      <w:pPr>
        <w:spacing w:after="0" w:line="240" w:lineRule="auto"/>
        <w:ind w:left="252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  a fire protection district in a regional district, and</w:t>
      </w:r>
    </w:p>
    <w:p w:rsidR="00C26E15" w:rsidRDefault="00C26E15" w:rsidP="00C26E15">
      <w:pPr>
        <w:spacing w:after="0" w:line="240" w:lineRule="auto"/>
        <w:ind w:left="2520"/>
        <w:rPr>
          <w:rFonts w:ascii="Verdana" w:eastAsia="Times New Roman" w:hAnsi="Verdana" w:cs="Times New Roman"/>
          <w:color w:val="000000"/>
          <w:lang w:eastAsia="en-CA"/>
        </w:rPr>
      </w:pPr>
    </w:p>
    <w:p w:rsidR="00C26E15" w:rsidRDefault="003752B6" w:rsidP="00C26E15">
      <w:pPr>
        <w:spacing w:after="0" w:line="240" w:lineRule="auto"/>
        <w:ind w:left="180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the shorter interval between the most recent 3 month interval and the date on which the activity ceases for an expected period of 3 months or more. </w:t>
      </w:r>
    </w:p>
    <w:p w:rsidR="00C26E15" w:rsidRDefault="00C26E15" w:rsidP="00C26E15">
      <w:pPr>
        <w:spacing w:after="0" w:line="240" w:lineRule="auto"/>
        <w:ind w:left="180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(3)  Subject to subsection (3.1) of this section, the prescribed intervals, at which persons described in section 7 (1) of the Act must conduct fire hazard assessments, are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6 month intervals during the period during which the persons, in any area other than the area described in subsection (2), are carrying on the industrial activity or the prescribed activity, and </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the shorter interval between the most recent 6 month interval and the date on which the activity ceases for an expected period of 6 months or more. </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(3.1)  The prescribed intervals, at which a person described in section 7 (1) of the Act who is a qualified holder must conduct fire hazard assessments, are the intervals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(a) set out in subsection (2) or (3) of this section, as applicable, or</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specified by a professional forester or a registered forest technologist.</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(4)  A person required to conduct a fire hazard assessment under section 7 (1) of the Act must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ensure that the fire hazard assessment includes an assessment of the fuel hazard and its associated risk of a fire starting or spreading, and </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provide a copy of the fire hazard assessment when requested to do so by an official.</w:t>
      </w:r>
    </w:p>
    <w:p w:rsidR="00C26E15" w:rsidRDefault="00C26E15" w:rsidP="00C26E15">
      <w:pPr>
        <w:spacing w:after="0" w:line="240" w:lineRule="auto"/>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(5)  A person referred to in section 7 (1) of the Act is exempt from section 7 (1) of the Act in respect of an area if a person referred to in section 7 (2.1) of the Act is required to abate fire ha</w:t>
      </w:r>
      <w:r w:rsidR="00C26E15" w:rsidRPr="00C26E15">
        <w:rPr>
          <w:rFonts w:ascii="Verdana" w:eastAsia="Times New Roman" w:hAnsi="Verdana" w:cs="Times New Roman"/>
          <w:color w:val="000000"/>
          <w:lang w:eastAsia="en-CA"/>
        </w:rPr>
        <w:t xml:space="preserve">zards in respect of that area. </w:t>
      </w:r>
    </w:p>
    <w:p w:rsidR="00691587" w:rsidRDefault="00691587">
      <w:pPr>
        <w:rPr>
          <w:rFonts w:ascii="Verdana" w:eastAsia="Times New Roman" w:hAnsi="Verdana" w:cs="Times New Roman"/>
          <w:color w:val="000000"/>
          <w:sz w:val="18"/>
          <w:szCs w:val="18"/>
          <w:lang w:eastAsia="en-CA"/>
        </w:rPr>
      </w:pPr>
      <w:r>
        <w:rPr>
          <w:rFonts w:ascii="Verdana" w:eastAsia="Times New Roman" w:hAnsi="Verdana" w:cs="Times New Roman"/>
          <w:color w:val="000000"/>
          <w:sz w:val="18"/>
          <w:szCs w:val="18"/>
          <w:lang w:eastAsia="en-CA"/>
        </w:rPr>
        <w:br w:type="page"/>
      </w:r>
    </w:p>
    <w:p w:rsidR="00C26E15" w:rsidRDefault="00C26E15" w:rsidP="00C26E15">
      <w:pPr>
        <w:spacing w:after="168" w:line="240" w:lineRule="auto"/>
        <w:ind w:left="4080"/>
        <w:rPr>
          <w:rFonts w:ascii="Verdana" w:eastAsia="Times New Roman" w:hAnsi="Verdana" w:cs="Times New Roman"/>
          <w:color w:val="000000"/>
          <w:sz w:val="18"/>
          <w:szCs w:val="18"/>
          <w:lang w:eastAsia="en-CA"/>
        </w:rPr>
      </w:pPr>
    </w:p>
    <w:p w:rsidR="00C26E15" w:rsidRDefault="003752B6" w:rsidP="00C26E15">
      <w:pPr>
        <w:spacing w:after="0" w:line="240" w:lineRule="auto"/>
        <w:outlineLvl w:val="3"/>
        <w:rPr>
          <w:rFonts w:ascii="Verdana" w:eastAsia="Times New Roman" w:hAnsi="Verdana" w:cs="Times New Roman"/>
          <w:b/>
          <w:bCs/>
          <w:color w:val="000000"/>
          <w:lang w:eastAsia="en-CA"/>
        </w:rPr>
      </w:pPr>
      <w:bookmarkStart w:id="6" w:name="section12"/>
      <w:bookmarkEnd w:id="6"/>
      <w:r w:rsidRPr="00D31363">
        <w:rPr>
          <w:rFonts w:ascii="Verdana" w:eastAsia="Times New Roman" w:hAnsi="Verdana" w:cs="Times New Roman"/>
          <w:b/>
          <w:bCs/>
          <w:color w:val="000000"/>
          <w:lang w:eastAsia="en-CA"/>
        </w:rPr>
        <w:t xml:space="preserve">Hazard abatement: general </w:t>
      </w:r>
    </w:p>
    <w:p w:rsidR="00C26E15" w:rsidRDefault="00C26E15" w:rsidP="00C26E15">
      <w:pPr>
        <w:spacing w:after="168" w:line="240" w:lineRule="auto"/>
        <w:ind w:left="1260" w:hanging="708"/>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12</w:t>
      </w:r>
      <w:r w:rsidR="003752B6" w:rsidRPr="00D31363">
        <w:rPr>
          <w:rFonts w:ascii="Verdana" w:eastAsia="Times New Roman" w:hAnsi="Verdana" w:cs="Times New Roman"/>
          <w:color w:val="000000"/>
          <w:lang w:eastAsia="en-CA"/>
        </w:rPr>
        <w:t xml:space="preserve"> (1)  The following periods are prescribed as the periods in which persons described in section 7 (2) of the Act must abate fire hazards of which the persons are aware or ought reasonably to be aware: </w:t>
      </w:r>
    </w:p>
    <w:p w:rsidR="00C26E15" w:rsidRDefault="003752B6" w:rsidP="00C26E15">
      <w:pPr>
        <w:spacing w:after="0" w:line="240" w:lineRule="auto"/>
        <w:ind w:left="14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for an area described in section 11 (2) (a) of this regulation, each of the 6 month periods beginning on the dates on which the persons are required under section 7 (1) of the Act to conduct fire hazard assessments; </w:t>
      </w:r>
    </w:p>
    <w:p w:rsidR="00C26E15" w:rsidRDefault="00C26E15" w:rsidP="00C26E15">
      <w:pPr>
        <w:spacing w:after="0" w:line="240" w:lineRule="auto"/>
        <w:ind w:left="1440"/>
        <w:rPr>
          <w:rFonts w:ascii="Verdana" w:eastAsia="Times New Roman" w:hAnsi="Verdana" w:cs="Times New Roman"/>
          <w:color w:val="000000"/>
          <w:lang w:eastAsia="en-CA"/>
        </w:rPr>
      </w:pPr>
    </w:p>
    <w:p w:rsidR="00C26E15" w:rsidRDefault="003752B6" w:rsidP="00C26E15">
      <w:pPr>
        <w:spacing w:after="0" w:line="240" w:lineRule="auto"/>
        <w:ind w:left="144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for an area other than an area described in section 11 (2) (a) of this regulation, each of the 12 month periods beginning on the dates on which the persons are required under section 7 (1) of the Act to conduct fire hazard assessments. </w:t>
      </w:r>
    </w:p>
    <w:p w:rsidR="00C26E15" w:rsidRDefault="00C26E15" w:rsidP="00C26E15">
      <w:pPr>
        <w:spacing w:after="0" w:line="240" w:lineRule="auto"/>
        <w:ind w:left="144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(2)  A person required to abate a fire hazard under section 7 (2) of the Act must reduce the fuel hazard on the site of the industrial activity or prescribed activity as necessary to ensure that carrying out the activity </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(a) does not increase the risk of a fire starting on the site, and</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if a fire were to start, would not increase the fire behaviour or fire suppression associated with the fire. </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(3)  This section does not apply to a person who is a qualified holder.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outlineLvl w:val="3"/>
        <w:rPr>
          <w:rFonts w:ascii="Verdana" w:eastAsia="Times New Roman" w:hAnsi="Verdana" w:cs="Times New Roman"/>
          <w:b/>
          <w:bCs/>
          <w:color w:val="000000"/>
          <w:lang w:eastAsia="en-CA"/>
        </w:rPr>
      </w:pPr>
      <w:bookmarkStart w:id="7" w:name="section12.1"/>
      <w:bookmarkEnd w:id="7"/>
      <w:r w:rsidRPr="00D31363">
        <w:rPr>
          <w:rFonts w:ascii="Verdana" w:eastAsia="Times New Roman" w:hAnsi="Verdana" w:cs="Times New Roman"/>
          <w:b/>
          <w:bCs/>
          <w:color w:val="000000"/>
          <w:lang w:eastAsia="en-CA"/>
        </w:rPr>
        <w:t xml:space="preserve">Hazard abatement: qualified holders </w:t>
      </w:r>
    </w:p>
    <w:p w:rsidR="00C26E15" w:rsidRDefault="00C26E15" w:rsidP="00C26E15">
      <w:pPr>
        <w:spacing w:after="168" w:line="240" w:lineRule="auto"/>
        <w:ind w:left="1320" w:hanging="1116"/>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12.1</w:t>
      </w:r>
      <w:r w:rsidR="003752B6" w:rsidRPr="00D31363">
        <w:rPr>
          <w:rFonts w:ascii="Verdana" w:eastAsia="Times New Roman" w:hAnsi="Verdana" w:cs="Times New Roman"/>
          <w:color w:val="000000"/>
          <w:lang w:eastAsia="en-CA"/>
        </w:rPr>
        <w:t xml:space="preserve"> (1)  In this section, </w:t>
      </w:r>
      <w:r w:rsidR="003752B6" w:rsidRPr="00D31363">
        <w:rPr>
          <w:rFonts w:ascii="Verdana" w:eastAsia="Times New Roman" w:hAnsi="Verdana" w:cs="Times New Roman"/>
          <w:b/>
          <w:bCs/>
          <w:color w:val="000000"/>
          <w:lang w:eastAsia="en-CA"/>
        </w:rPr>
        <w:t xml:space="preserve">"abatement area" </w:t>
      </w:r>
      <w:r w:rsidR="003752B6" w:rsidRPr="00D31363">
        <w:rPr>
          <w:rFonts w:ascii="Verdana" w:eastAsia="Times New Roman" w:hAnsi="Verdana" w:cs="Times New Roman"/>
          <w:color w:val="000000"/>
          <w:lang w:eastAsia="en-CA"/>
        </w:rPr>
        <w:t xml:space="preserve">means each area within which the industrial activity or prescribed activity takes place in each consecutive 12 month period that occurs after the date the activity begins. </w:t>
      </w: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(2)  The following periods are prescribed as the periods in which a person described in section 7 (2) of the Act who is a qualified holder must abate fire hazards of which the person is aware or ought reasonably to be aware: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for each abatement area within an area described in section 11 (2) (a) of this regulation, a period of 24 months, beginning on the date the industrial activity or prescribed activity begins in the abatement area,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for each abatement area within an area other than an area described in section 11 (2) (a) of this regulation, </w:t>
      </w: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lastRenderedPageBreak/>
        <w:t xml:space="preserve">(i)  a period of 30 months, beginning on the date the industrial activity or prescribed activity begins in the abatement area, or </w:t>
      </w: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(ii)  the period specified by a professional forester or registered forest technologist under the </w:t>
      </w:r>
      <w:r w:rsidR="00C26E15" w:rsidRPr="00C26E15">
        <w:rPr>
          <w:rFonts w:ascii="Verdana" w:eastAsia="Times New Roman" w:hAnsi="Verdana" w:cs="Times New Roman"/>
          <w:i/>
          <w:iCs/>
          <w:color w:val="000000"/>
          <w:lang w:eastAsia="en-CA"/>
        </w:rPr>
        <w:t>Foresters Act</w:t>
      </w:r>
      <w:r w:rsidR="00C26E15" w:rsidRPr="00C26E15">
        <w:rPr>
          <w:rFonts w:ascii="Verdana" w:eastAsia="Times New Roman" w:hAnsi="Verdana" w:cs="Times New Roman"/>
          <w:color w:val="000000"/>
          <w:lang w:eastAsia="en-CA"/>
        </w:rPr>
        <w:t xml:space="preserve">. </w:t>
      </w:r>
    </w:p>
    <w:p w:rsidR="00C26E15" w:rsidRDefault="00C26E15" w:rsidP="00C26E15">
      <w:pPr>
        <w:spacing w:after="0" w:line="240" w:lineRule="auto"/>
        <w:ind w:left="1800" w:hanging="528"/>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(3)  A person required to abate a fire hazard under section 7 (2) of the Act who is a qualified holder must reduce the fuel hazard on the site of the industrial activity or prescribed activity </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(a) as necessary to ensure that carrying out the activity</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  does not increase the risk of a fire starting on the site, and</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(ii)  if a fire were to start, would not increase the fire behaviour or fire suppression associated with the fire, or </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(b) as specified by a professional forester or registered forest technologist under the </w:t>
      </w:r>
      <w:r w:rsidRPr="00C26E15">
        <w:rPr>
          <w:rFonts w:ascii="Verdana" w:eastAsia="Times New Roman" w:hAnsi="Verdana" w:cs="Times New Roman"/>
          <w:i/>
          <w:iCs/>
          <w:color w:val="000000"/>
          <w:lang w:eastAsia="en-CA"/>
        </w:rPr>
        <w:t>Foresters Act</w:t>
      </w:r>
      <w:r w:rsidRPr="00C26E15">
        <w:rPr>
          <w:rFonts w:ascii="Verdana" w:eastAsia="Times New Roman" w:hAnsi="Verdana" w:cs="Times New Roman"/>
          <w:color w:val="000000"/>
          <w:lang w:eastAsia="en-CA"/>
        </w:rPr>
        <w:t xml:space="preserve">. </w:t>
      </w:r>
    </w:p>
    <w:p w:rsidR="00C26E15" w:rsidRDefault="00C26E15" w:rsidP="00C26E15">
      <w:pPr>
        <w:spacing w:after="0" w:line="240" w:lineRule="auto"/>
        <w:outlineLvl w:val="3"/>
        <w:rPr>
          <w:rFonts w:ascii="Verdana" w:eastAsia="Times New Roman" w:hAnsi="Verdana" w:cs="Times New Roman"/>
          <w:b/>
          <w:bCs/>
          <w:color w:val="000000"/>
          <w:lang w:eastAsia="en-CA"/>
        </w:rPr>
      </w:pPr>
      <w:bookmarkStart w:id="8" w:name="section12.2"/>
      <w:bookmarkEnd w:id="8"/>
    </w:p>
    <w:p w:rsidR="00C26E15" w:rsidRDefault="00C26E15" w:rsidP="00C26E15">
      <w:pPr>
        <w:spacing w:after="0" w:line="240" w:lineRule="auto"/>
        <w:outlineLvl w:val="3"/>
        <w:rPr>
          <w:rFonts w:ascii="Verdana" w:eastAsia="Times New Roman" w:hAnsi="Verdana" w:cs="Times New Roman"/>
          <w:b/>
          <w:bCs/>
          <w:color w:val="000000"/>
          <w:lang w:eastAsia="en-CA"/>
        </w:rPr>
      </w:pPr>
    </w:p>
    <w:p w:rsidR="00C26E15" w:rsidRDefault="003752B6" w:rsidP="00C26E15">
      <w:pPr>
        <w:spacing w:after="0" w:line="240" w:lineRule="auto"/>
        <w:outlineLvl w:val="3"/>
        <w:rPr>
          <w:rFonts w:ascii="Verdana" w:eastAsia="Times New Roman" w:hAnsi="Verdana" w:cs="Times New Roman"/>
          <w:b/>
          <w:bCs/>
          <w:color w:val="000000"/>
          <w:lang w:eastAsia="en-CA"/>
        </w:rPr>
      </w:pPr>
      <w:r w:rsidRPr="00D31363">
        <w:rPr>
          <w:rFonts w:ascii="Verdana" w:eastAsia="Times New Roman" w:hAnsi="Verdana" w:cs="Times New Roman"/>
          <w:b/>
          <w:bCs/>
          <w:color w:val="000000"/>
          <w:lang w:eastAsia="en-CA"/>
        </w:rPr>
        <w:t xml:space="preserve">Hazard abatement: fibre recovery tenure holders </w:t>
      </w:r>
    </w:p>
    <w:p w:rsidR="00C26E15" w:rsidRDefault="00C26E15" w:rsidP="00C26E15">
      <w:pPr>
        <w:spacing w:after="168" w:line="240" w:lineRule="auto"/>
        <w:ind w:left="1320" w:hanging="1116"/>
        <w:rPr>
          <w:rFonts w:ascii="Verdana" w:eastAsia="Times New Roman" w:hAnsi="Verdana" w:cs="Times New Roman"/>
          <w:color w:val="000000"/>
          <w:lang w:eastAsia="en-CA"/>
        </w:rPr>
      </w:pPr>
      <w:r w:rsidRPr="00C26E15">
        <w:rPr>
          <w:rFonts w:ascii="Verdana" w:eastAsia="Times New Roman" w:hAnsi="Verdana" w:cs="Courier New"/>
          <w:b/>
          <w:bCs/>
          <w:color w:val="000000"/>
          <w:sz w:val="29"/>
          <w:lang w:eastAsia="en-CA"/>
        </w:rPr>
        <w:t>12.2</w:t>
      </w:r>
      <w:r w:rsidR="003752B6" w:rsidRPr="00D31363">
        <w:rPr>
          <w:rFonts w:ascii="Verdana" w:eastAsia="Times New Roman" w:hAnsi="Verdana" w:cs="Times New Roman"/>
          <w:color w:val="000000"/>
          <w:lang w:eastAsia="en-CA"/>
        </w:rPr>
        <w:t xml:space="preserve"> (1)  Fibre recovery tenure holders are prescribed for the purposes of section 7 (2.1) of the Act. </w:t>
      </w: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(2)  The following periods are prescribed for the purposes of section 7 (2.1) of the Act: </w:t>
      </w: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6 months after the date the fibre recovery tenure holder is issued with the forestry licence to cut or fibre recovery permit, as applicable, in respect of an area, if the area is located inside, or within 2 km of, the boundaries of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  a local government referred to in paragraph (d), (e) or (f) of the definition of “local government” in section 1 of the Act, or </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  a fire protection district in a regional district;</w:t>
      </w:r>
    </w:p>
    <w:p w:rsidR="00C26E15" w:rsidRDefault="00C26E15" w:rsidP="00C26E15">
      <w:pPr>
        <w:spacing w:after="0" w:line="240" w:lineRule="auto"/>
        <w:ind w:left="2880"/>
        <w:rPr>
          <w:rFonts w:ascii="Verdana" w:eastAsia="Times New Roman" w:hAnsi="Verdana" w:cs="Times New Roman"/>
          <w:color w:val="000000"/>
          <w:lang w:eastAsia="en-CA"/>
        </w:rPr>
      </w:pPr>
    </w:p>
    <w:p w:rsidR="00C26E15" w:rsidRDefault="003752B6"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12 months after the date the fibre recovery tenure holder is issued with the forestry licence to cut or fibre recovery permit, as applicable, in respect of an area, other than an area described by paragraph (a).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3752B6"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(3)  The prescribed extent for the purposes of section 7 (2.1) of the Act is the extent necessary to ensure that, at the conclusion of the abatement operations, there are not more than 2 piles, each not exceeding 5 m3 in volume, of Crown timber on any hectare within the forestry licence </w:t>
      </w:r>
      <w:r w:rsidR="00C26E15" w:rsidRPr="00C26E15">
        <w:rPr>
          <w:rFonts w:ascii="Verdana" w:eastAsia="Times New Roman" w:hAnsi="Verdana" w:cs="Times New Roman"/>
          <w:color w:val="000000"/>
          <w:lang w:eastAsia="en-CA"/>
        </w:rPr>
        <w:t xml:space="preserve">to cut area or fibre recovery permit area, as applicable. </w:t>
      </w:r>
    </w:p>
    <w:p w:rsidR="00C26E15" w:rsidRPr="00C26E15" w:rsidRDefault="00C26E15" w:rsidP="00C26E15">
      <w:pPr>
        <w:spacing w:line="240" w:lineRule="auto"/>
        <w:rPr>
          <w:rFonts w:ascii="Verdana" w:hAnsi="Verdana"/>
        </w:rPr>
      </w:pPr>
    </w:p>
    <w:p w:rsidR="00C26E15" w:rsidRPr="00C26E15" w:rsidRDefault="00C26E15" w:rsidP="00C26E15">
      <w:pPr>
        <w:spacing w:line="240" w:lineRule="auto"/>
        <w:rPr>
          <w:rFonts w:ascii="Verdana" w:hAnsi="Verdana"/>
          <w:b/>
          <w:sz w:val="28"/>
          <w:szCs w:val="28"/>
          <w:u w:val="single"/>
        </w:rPr>
      </w:pPr>
    </w:p>
    <w:p w:rsidR="00C26E15" w:rsidRPr="00C26E15" w:rsidRDefault="00C26E15" w:rsidP="00C26E15">
      <w:pPr>
        <w:spacing w:line="240" w:lineRule="auto"/>
        <w:rPr>
          <w:rFonts w:ascii="Verdana" w:hAnsi="Verdana"/>
          <w:b/>
          <w:sz w:val="28"/>
          <w:szCs w:val="28"/>
          <w:u w:val="single"/>
        </w:rPr>
      </w:pPr>
      <w:r w:rsidRPr="00C26E15">
        <w:rPr>
          <w:rFonts w:ascii="Verdana" w:hAnsi="Verdana"/>
          <w:b/>
          <w:sz w:val="28"/>
          <w:szCs w:val="28"/>
          <w:u w:val="single"/>
        </w:rPr>
        <w:lastRenderedPageBreak/>
        <w:t xml:space="preserve">WILDFIRE REGULATION DEFINITIONS (relevant) </w:t>
      </w:r>
    </w:p>
    <w:p w:rsidR="00C26E15" w:rsidRDefault="00B61ECA" w:rsidP="00C26E15">
      <w:pPr>
        <w:spacing w:after="168" w:line="240" w:lineRule="auto"/>
        <w:ind w:left="2040" w:hanging="120"/>
        <w:rPr>
          <w:rFonts w:ascii="Verdana" w:eastAsia="Times New Roman" w:hAnsi="Verdana" w:cs="Times New Roman"/>
          <w:color w:val="000000"/>
          <w:lang w:eastAsia="en-CA"/>
        </w:rPr>
      </w:pPr>
      <w:r w:rsidRPr="00D31363">
        <w:rPr>
          <w:rFonts w:ascii="Verdana" w:eastAsia="Times New Roman" w:hAnsi="Verdana" w:cs="Times New Roman"/>
          <w:b/>
          <w:bCs/>
          <w:color w:val="000000"/>
          <w:lang w:eastAsia="en-CA"/>
        </w:rPr>
        <w:t xml:space="preserve">"fibre recovery tenure holder" </w:t>
      </w:r>
      <w:r w:rsidRPr="00D31363">
        <w:rPr>
          <w:rFonts w:ascii="Verdana" w:eastAsia="Times New Roman" w:hAnsi="Verdana" w:cs="Times New Roman"/>
          <w:color w:val="000000"/>
          <w:lang w:eastAsia="en-CA"/>
        </w:rPr>
        <w:t xml:space="preserve">means a person that holds </w:t>
      </w:r>
    </w:p>
    <w:p w:rsidR="00C26E15" w:rsidRDefault="00B61ECA"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a forestry licence to cut entered into under section 47.6 (2.11) of the </w:t>
      </w:r>
      <w:r w:rsidRPr="00D31363">
        <w:rPr>
          <w:rFonts w:ascii="Verdana" w:eastAsia="Times New Roman" w:hAnsi="Verdana" w:cs="Times New Roman"/>
          <w:i/>
          <w:iCs/>
          <w:color w:val="000000"/>
          <w:lang w:eastAsia="en-CA"/>
        </w:rPr>
        <w:t>Forest Act</w:t>
      </w:r>
      <w:r w:rsidRPr="00D31363">
        <w:rPr>
          <w:rFonts w:ascii="Verdana" w:eastAsia="Times New Roman" w:hAnsi="Verdana" w:cs="Times New Roman"/>
          <w:color w:val="000000"/>
          <w:lang w:eastAsia="en-CA"/>
        </w:rPr>
        <w:t xml:space="preserve">, or </w:t>
      </w:r>
    </w:p>
    <w:p w:rsidR="00C26E15" w:rsidRDefault="00B61ECA"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(b) a fibre supply licence to cut entered into under section 47.3 (1) or 47.71 (6) of the </w:t>
      </w:r>
      <w:r w:rsidRPr="00D31363">
        <w:rPr>
          <w:rFonts w:ascii="Verdana" w:eastAsia="Times New Roman" w:hAnsi="Verdana" w:cs="Times New Roman"/>
          <w:i/>
          <w:iCs/>
          <w:color w:val="000000"/>
          <w:lang w:eastAsia="en-CA"/>
        </w:rPr>
        <w:t>Forest Act</w:t>
      </w:r>
      <w:r w:rsidRPr="00D31363">
        <w:rPr>
          <w:rFonts w:ascii="Verdana" w:eastAsia="Times New Roman" w:hAnsi="Verdana" w:cs="Times New Roman"/>
          <w:color w:val="000000"/>
          <w:lang w:eastAsia="en-CA"/>
        </w:rPr>
        <w:t xml:space="preserve">; </w:t>
      </w:r>
    </w:p>
    <w:p w:rsidR="00C26E15" w:rsidRPr="00C26E15" w:rsidRDefault="00C26E15" w:rsidP="00C26E15">
      <w:pPr>
        <w:spacing w:after="0" w:line="240" w:lineRule="auto"/>
        <w:rPr>
          <w:rFonts w:ascii="Verdana" w:hAnsi="Verdana"/>
          <w:sz w:val="24"/>
          <w:szCs w:val="24"/>
          <w:u w:val="single"/>
        </w:rPr>
      </w:pPr>
    </w:p>
    <w:p w:rsidR="00C26E15" w:rsidRDefault="00210118" w:rsidP="00C26E15">
      <w:pPr>
        <w:spacing w:after="0" w:line="240" w:lineRule="auto"/>
        <w:ind w:left="2040" w:hanging="120"/>
        <w:rPr>
          <w:rFonts w:ascii="Verdana" w:eastAsia="Times New Roman" w:hAnsi="Verdana" w:cs="Times New Roman"/>
          <w:color w:val="000000"/>
          <w:lang w:eastAsia="en-CA"/>
        </w:rPr>
      </w:pPr>
      <w:r w:rsidRPr="00D31363">
        <w:rPr>
          <w:rFonts w:ascii="Verdana" w:eastAsia="Times New Roman" w:hAnsi="Verdana" w:cs="Times New Roman"/>
          <w:b/>
          <w:bCs/>
          <w:color w:val="000000"/>
          <w:lang w:eastAsia="en-CA"/>
        </w:rPr>
        <w:t xml:space="preserve">"fuel hazard" </w:t>
      </w:r>
      <w:r w:rsidRPr="00D31363">
        <w:rPr>
          <w:rFonts w:ascii="Verdana" w:eastAsia="Times New Roman" w:hAnsi="Verdana" w:cs="Times New Roman"/>
          <w:color w:val="000000"/>
          <w:lang w:eastAsia="en-CA"/>
        </w:rPr>
        <w:t xml:space="preserve">means the potential fire behaviour, without regard to the state of weather or topography, based on the physical fuel characteristics, including fuel arrangement, fuel load, condition of herbaceous vegetation and the presence of ladder fuel; </w:t>
      </w:r>
    </w:p>
    <w:p w:rsidR="00C26E15" w:rsidRDefault="00C26E15" w:rsidP="00C26E15">
      <w:pPr>
        <w:spacing w:after="168" w:line="240" w:lineRule="auto"/>
        <w:ind w:left="2040" w:hanging="120"/>
        <w:rPr>
          <w:rFonts w:ascii="Verdana" w:eastAsia="Times New Roman" w:hAnsi="Verdana" w:cs="Times New Roman"/>
          <w:b/>
          <w:bCs/>
          <w:color w:val="000000"/>
          <w:lang w:eastAsia="en-CA"/>
        </w:rPr>
      </w:pPr>
    </w:p>
    <w:p w:rsidR="00C26E15" w:rsidRDefault="001415F7" w:rsidP="00C26E15">
      <w:pPr>
        <w:spacing w:after="168" w:line="240" w:lineRule="auto"/>
        <w:ind w:left="2040" w:hanging="120"/>
        <w:rPr>
          <w:rFonts w:ascii="Verdana" w:eastAsia="Times New Roman" w:hAnsi="Verdana" w:cs="Times New Roman"/>
          <w:color w:val="000000"/>
          <w:lang w:eastAsia="en-CA"/>
        </w:rPr>
      </w:pPr>
      <w:r w:rsidRPr="00D31363">
        <w:rPr>
          <w:rFonts w:ascii="Verdana" w:eastAsia="Times New Roman" w:hAnsi="Verdana" w:cs="Times New Roman"/>
          <w:b/>
          <w:bCs/>
          <w:color w:val="000000"/>
          <w:lang w:eastAsia="en-CA"/>
        </w:rPr>
        <w:t xml:space="preserve">"high risk activity" </w:t>
      </w:r>
      <w:r w:rsidRPr="00D31363">
        <w:rPr>
          <w:rFonts w:ascii="Verdana" w:eastAsia="Times New Roman" w:hAnsi="Verdana" w:cs="Times New Roman"/>
          <w:color w:val="000000"/>
          <w:lang w:eastAsia="en-CA"/>
        </w:rPr>
        <w:t xml:space="preserve">means </w:t>
      </w: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(a) mechanical brushing;</w:t>
      </w: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disk trenching;</w:t>
      </w: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(c) preparation or use of explosives;</w:t>
      </w: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(d) using fire- or spark-producing tools, including cutting tools;</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(e) using or preparing fireworks or pyrotechnics;</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(f) grinding, including rail grinding;</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(g) mechanical land clearing;</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(h) clearing and maintaining rights of way, including grass mowing;</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(i) any of the following activities carried out in a cutblock excluding a road, landing, roadside work area or log sort area in the cutblock: </w:t>
      </w:r>
    </w:p>
    <w:p w:rsidR="00C26E15" w:rsidRDefault="00C26E15" w:rsidP="00C26E15">
      <w:pPr>
        <w:spacing w:after="0" w:line="240" w:lineRule="auto"/>
        <w:ind w:left="2160"/>
        <w:rPr>
          <w:rFonts w:ascii="Verdana" w:eastAsia="Times New Roman" w:hAnsi="Verdana" w:cs="Times New Roman"/>
          <w:color w:val="000000"/>
          <w:lang w:eastAsia="en-CA"/>
        </w:rPr>
      </w:pPr>
    </w:p>
    <w:p w:rsidR="00C26E15" w:rsidRDefault="001415F7" w:rsidP="00C26E15">
      <w:pPr>
        <w:spacing w:after="0" w:line="240" w:lineRule="auto"/>
        <w:ind w:left="252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  operating a power saw;</w:t>
      </w:r>
    </w:p>
    <w:p w:rsidR="00C26E15" w:rsidRDefault="001415F7" w:rsidP="00C26E15">
      <w:pPr>
        <w:spacing w:after="0" w:line="240" w:lineRule="auto"/>
        <w:ind w:left="252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  mechanical tree felling, woody debris piling or tree processing, including de-limbing;</w:t>
      </w:r>
    </w:p>
    <w:p w:rsidR="00C26E15" w:rsidRDefault="00C26E15" w:rsidP="00C26E15">
      <w:pPr>
        <w:spacing w:after="0" w:line="240" w:lineRule="auto"/>
        <w:ind w:left="252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(iii)  welding;</w:t>
      </w:r>
    </w:p>
    <w:p w:rsidR="00C26E15" w:rsidRDefault="00C26E15" w:rsidP="00C26E15">
      <w:pPr>
        <w:spacing w:after="0" w:line="240" w:lineRule="auto"/>
        <w:ind w:left="252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(iv)  portable wood chipping, milling, processing or manufacturing;</w:t>
      </w:r>
    </w:p>
    <w:p w:rsidR="00C26E15" w:rsidRDefault="00C26E15" w:rsidP="00C26E15">
      <w:pPr>
        <w:spacing w:after="0" w:line="240" w:lineRule="auto"/>
        <w:ind w:left="252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(v)  skidding logs or log forwarding unless it is improbable that the skidding or forwarding will result in the equipment contacting rock; </w:t>
      </w:r>
    </w:p>
    <w:p w:rsidR="00C26E15" w:rsidRDefault="00C26E15" w:rsidP="00C26E15">
      <w:pPr>
        <w:spacing w:after="0" w:line="240" w:lineRule="auto"/>
        <w:ind w:left="252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(vi)  yarding logs using cable systems;</w:t>
      </w:r>
    </w:p>
    <w:p w:rsidR="00C26E15" w:rsidRPr="00C26E15" w:rsidRDefault="00C26E15" w:rsidP="00C26E15">
      <w:pPr>
        <w:spacing w:after="168" w:line="240" w:lineRule="auto"/>
        <w:ind w:left="2040" w:hanging="120"/>
        <w:rPr>
          <w:rStyle w:val="Strong"/>
          <w:rFonts w:ascii="Verdana" w:hAnsi="Verdana"/>
        </w:rPr>
      </w:pPr>
    </w:p>
    <w:p w:rsidR="00C26E15" w:rsidRDefault="00210118" w:rsidP="00C26E15">
      <w:pPr>
        <w:spacing w:after="168" w:line="240" w:lineRule="auto"/>
        <w:ind w:left="2040" w:hanging="120"/>
        <w:rPr>
          <w:rFonts w:ascii="Verdana" w:eastAsia="Times New Roman" w:hAnsi="Verdana" w:cs="Times New Roman"/>
          <w:color w:val="000000"/>
          <w:lang w:eastAsia="en-CA"/>
        </w:rPr>
      </w:pPr>
      <w:r w:rsidRPr="00D31363">
        <w:rPr>
          <w:rFonts w:ascii="Verdana" w:eastAsia="Times New Roman" w:hAnsi="Verdana" w:cs="Times New Roman"/>
          <w:b/>
          <w:bCs/>
          <w:color w:val="000000"/>
          <w:lang w:eastAsia="en-CA"/>
        </w:rPr>
        <w:t xml:space="preserve">"qualified holder" </w:t>
      </w:r>
      <w:r w:rsidRPr="00D31363">
        <w:rPr>
          <w:rFonts w:ascii="Verdana" w:eastAsia="Times New Roman" w:hAnsi="Verdana" w:cs="Times New Roman"/>
          <w:color w:val="000000"/>
          <w:lang w:eastAsia="en-CA"/>
        </w:rPr>
        <w:t xml:space="preserve">means a person, other than the government, </w:t>
      </w:r>
    </w:p>
    <w:p w:rsidR="00C26E15" w:rsidRDefault="00210118"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(a) who is a party to a cost sharing agreement or service agreement, as defined in section 28 of this regulation, or </w:t>
      </w:r>
    </w:p>
    <w:p w:rsidR="00C26E15" w:rsidRDefault="00210118"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who</w:t>
      </w:r>
    </w:p>
    <w:p w:rsidR="00C26E15" w:rsidRDefault="00210118"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(i)  is the holder of an agreement or licence referred to in section 12 (1) (a), (c), (d), (e) and (g) and (2) (a) of the </w:t>
      </w:r>
      <w:r w:rsidRPr="00D31363">
        <w:rPr>
          <w:rFonts w:ascii="Verdana" w:eastAsia="Times New Roman" w:hAnsi="Verdana" w:cs="Times New Roman"/>
          <w:i/>
          <w:iCs/>
          <w:color w:val="000000"/>
          <w:lang w:eastAsia="en-CA"/>
        </w:rPr>
        <w:t>Forest Act</w:t>
      </w:r>
      <w:r w:rsidRPr="00D31363">
        <w:rPr>
          <w:rFonts w:ascii="Verdana" w:eastAsia="Times New Roman" w:hAnsi="Verdana" w:cs="Times New Roman"/>
          <w:color w:val="000000"/>
          <w:lang w:eastAsia="en-CA"/>
        </w:rPr>
        <w:t xml:space="preserve">, and </w:t>
      </w:r>
    </w:p>
    <w:p w:rsidR="00C26E15" w:rsidRDefault="00210118"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lastRenderedPageBreak/>
        <w:t xml:space="preserve">(ii)  is not in arrears under the Annual Rent Regulation for the annual rent payable respecting the agreement or licence; </w:t>
      </w:r>
    </w:p>
    <w:p w:rsidR="00C26E15" w:rsidRPr="00C26E15" w:rsidRDefault="00C26E15" w:rsidP="00C26E15">
      <w:pPr>
        <w:spacing w:line="240" w:lineRule="auto"/>
        <w:rPr>
          <w:rFonts w:ascii="Verdana" w:hAnsi="Verdana"/>
          <w:b/>
          <w:sz w:val="28"/>
          <w:szCs w:val="28"/>
          <w:u w:val="single"/>
        </w:rPr>
      </w:pPr>
    </w:p>
    <w:p w:rsidR="00C26E15" w:rsidRDefault="001415F7" w:rsidP="00C26E15">
      <w:pPr>
        <w:spacing w:after="0" w:line="240" w:lineRule="auto"/>
        <w:ind w:left="1800" w:hanging="528"/>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 xml:space="preserve">3)  Each of the following activities is included in the definition of </w:t>
      </w:r>
      <w:r w:rsidRPr="00D31363">
        <w:rPr>
          <w:rFonts w:ascii="Verdana" w:eastAsia="Times New Roman" w:hAnsi="Verdana" w:cs="Times New Roman"/>
          <w:b/>
          <w:color w:val="000000"/>
          <w:lang w:eastAsia="en-CA"/>
        </w:rPr>
        <w:t>"industrial activity"</w:t>
      </w:r>
      <w:r w:rsidRPr="00D31363">
        <w:rPr>
          <w:rFonts w:ascii="Verdana" w:eastAsia="Times New Roman" w:hAnsi="Verdana" w:cs="Times New Roman"/>
          <w:color w:val="000000"/>
          <w:lang w:eastAsia="en-CA"/>
        </w:rPr>
        <w:t xml:space="preserve"> in section 1 of the Act: </w:t>
      </w:r>
    </w:p>
    <w:p w:rsidR="00C26E15" w:rsidRDefault="00C26E15" w:rsidP="00C26E15">
      <w:pPr>
        <w:spacing w:after="0" w:line="240" w:lineRule="auto"/>
        <w:ind w:left="1800" w:hanging="528"/>
        <w:rPr>
          <w:rFonts w:ascii="Verdana" w:eastAsia="Times New Roman" w:hAnsi="Verdana" w:cs="Times New Roman"/>
          <w:color w:val="000000"/>
          <w:lang w:eastAsia="en-CA"/>
        </w:rPr>
      </w:pP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(a) high risk activities;</w:t>
      </w:r>
    </w:p>
    <w:p w:rsidR="00C26E15" w:rsidRDefault="001415F7" w:rsidP="00C26E15">
      <w:pPr>
        <w:spacing w:after="0" w:line="240" w:lineRule="auto"/>
        <w:ind w:left="216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(b) operating equipment or machinery in relation to forest management during</w:t>
      </w:r>
    </w:p>
    <w:p w:rsidR="00C26E15" w:rsidRDefault="001415F7"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  road construction, road maintenance and road deactivation,</w:t>
      </w:r>
    </w:p>
    <w:p w:rsidR="00C26E15" w:rsidRDefault="001415F7"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  timber harvesting, including sorting logs,</w:t>
      </w:r>
    </w:p>
    <w:p w:rsidR="00C26E15" w:rsidRDefault="001415F7" w:rsidP="00C26E15">
      <w:pPr>
        <w:spacing w:after="0" w:line="240" w:lineRule="auto"/>
        <w:ind w:left="2880"/>
        <w:rPr>
          <w:rFonts w:ascii="Verdana" w:eastAsia="Times New Roman" w:hAnsi="Verdana" w:cs="Times New Roman"/>
          <w:color w:val="000000"/>
          <w:lang w:eastAsia="en-CA"/>
        </w:rPr>
      </w:pPr>
      <w:r w:rsidRPr="00D31363">
        <w:rPr>
          <w:rFonts w:ascii="Verdana" w:eastAsia="Times New Roman" w:hAnsi="Verdana" w:cs="Times New Roman"/>
          <w:color w:val="000000"/>
          <w:lang w:eastAsia="en-CA"/>
        </w:rPr>
        <w:t>(iii)  mechanical modification of forest debris and debris piling,</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(iv)  silviculture treatments, or</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(v)  portable wood chipping, milling, processing or manufacturing;</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 xml:space="preserve">(c) operating equipment or machinery in relation to activities other than forest management during </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  debris piling,</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(ii)  road construction, road maintenance or road deactivation,</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(iii)  rock drilling,</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(iv)  mining operations,</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(v)  railway operations,</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(vi)  utility transmission operations, or</w:t>
      </w:r>
    </w:p>
    <w:p w:rsidR="00C26E15" w:rsidRDefault="00C26E15" w:rsidP="00C26E15">
      <w:pPr>
        <w:spacing w:after="0" w:line="240" w:lineRule="auto"/>
        <w:ind w:left="288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(vii)  portable wood chipping, milling, processing or manufacturing.</w:t>
      </w:r>
    </w:p>
    <w:p w:rsidR="00C26E15" w:rsidRDefault="00C26E15" w:rsidP="00C26E15">
      <w:pPr>
        <w:spacing w:after="0" w:line="240" w:lineRule="auto"/>
        <w:ind w:left="2160"/>
        <w:rPr>
          <w:rFonts w:ascii="Verdana" w:eastAsia="Times New Roman" w:hAnsi="Verdana" w:cs="Times New Roman"/>
          <w:color w:val="000000"/>
          <w:lang w:eastAsia="en-CA"/>
        </w:rPr>
      </w:pPr>
      <w:r w:rsidRPr="00C26E15">
        <w:rPr>
          <w:rFonts w:ascii="Verdana" w:eastAsia="Times New Roman" w:hAnsi="Verdana" w:cs="Times New Roman"/>
          <w:color w:val="000000"/>
          <w:lang w:eastAsia="en-CA"/>
        </w:rPr>
        <w:t>(d) to (m) Repealed. [B.C. Reg. 213/2008, s. 1 (c).]</w:t>
      </w:r>
    </w:p>
    <w:p w:rsidR="00C26E15" w:rsidRPr="00C26E15" w:rsidRDefault="00C26E15" w:rsidP="00C26E15">
      <w:pPr>
        <w:spacing w:line="240" w:lineRule="auto"/>
        <w:rPr>
          <w:rFonts w:ascii="Verdana" w:hAnsi="Verdana"/>
          <w:b/>
          <w:sz w:val="28"/>
          <w:szCs w:val="28"/>
          <w:u w:val="single"/>
        </w:rPr>
      </w:pPr>
    </w:p>
    <w:p w:rsidR="007217CA" w:rsidRDefault="007217CA">
      <w:pPr>
        <w:rPr>
          <w:rFonts w:ascii="Verdana" w:hAnsi="Verdana"/>
          <w:b/>
          <w:sz w:val="28"/>
          <w:szCs w:val="28"/>
          <w:u w:val="single"/>
        </w:rPr>
      </w:pPr>
      <w:r>
        <w:rPr>
          <w:rFonts w:ascii="Verdana" w:hAnsi="Verdana"/>
          <w:b/>
          <w:sz w:val="28"/>
          <w:szCs w:val="28"/>
          <w:u w:val="single"/>
        </w:rPr>
        <w:br w:type="page"/>
      </w:r>
    </w:p>
    <w:p w:rsidR="00D13A70" w:rsidRPr="00D31363" w:rsidRDefault="00C26E15">
      <w:pPr>
        <w:rPr>
          <w:rFonts w:ascii="Verdana" w:hAnsi="Verdana"/>
          <w:b/>
          <w:sz w:val="28"/>
          <w:szCs w:val="28"/>
          <w:u w:val="single"/>
        </w:rPr>
      </w:pPr>
      <w:r w:rsidRPr="00C26E15">
        <w:rPr>
          <w:rFonts w:ascii="Verdana" w:hAnsi="Verdana"/>
          <w:b/>
          <w:sz w:val="28"/>
          <w:szCs w:val="28"/>
          <w:u w:val="single"/>
        </w:rPr>
        <w:lastRenderedPageBreak/>
        <w:t xml:space="preserve">USEFUL LINKS </w:t>
      </w: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A Guide to fuel hazard assessment and abatement in BC – April 2012</w:t>
      </w:r>
    </w:p>
    <w:p w:rsidR="00C26E15" w:rsidRPr="00C26E15" w:rsidRDefault="00454F80" w:rsidP="00C26E15">
      <w:pPr>
        <w:spacing w:after="0" w:line="240" w:lineRule="auto"/>
        <w:rPr>
          <w:rFonts w:ascii="Verdana" w:hAnsi="Verdana"/>
          <w:sz w:val="24"/>
          <w:szCs w:val="24"/>
        </w:rPr>
      </w:pPr>
      <w:hyperlink r:id="rId6" w:history="1">
        <w:r w:rsidR="00C26E15" w:rsidRPr="00C26E15">
          <w:rPr>
            <w:rStyle w:val="Hyperlink"/>
            <w:rFonts w:ascii="Verdana" w:hAnsi="Verdana"/>
            <w:sz w:val="24"/>
            <w:szCs w:val="24"/>
          </w:rPr>
          <w:t>http://bcwildfire.ca/Industry_Stakeholders/industry/Assessment_Abatement.htm</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Wildfire Regulation: Interpretive bulletin on the application of the Wildfire Regulation for the forest industry – June 2011</w:t>
      </w:r>
    </w:p>
    <w:p w:rsidR="00C26E15" w:rsidRPr="00C26E15" w:rsidRDefault="00454F80" w:rsidP="00C26E15">
      <w:pPr>
        <w:spacing w:after="0" w:line="240" w:lineRule="auto"/>
        <w:rPr>
          <w:rFonts w:ascii="Verdana" w:hAnsi="Verdana"/>
          <w:sz w:val="24"/>
          <w:szCs w:val="24"/>
        </w:rPr>
      </w:pPr>
      <w:hyperlink r:id="rId7" w:history="1">
        <w:r w:rsidR="00C26E15" w:rsidRPr="00C26E15">
          <w:rPr>
            <w:rStyle w:val="Hyperlink"/>
            <w:rFonts w:ascii="Verdana" w:hAnsi="Verdana"/>
            <w:sz w:val="24"/>
            <w:szCs w:val="24"/>
          </w:rPr>
          <w:t>http://bcwildfire.ca/Industry_Stakeholders/industry/Interpretive_WildfireReg.pdf</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WMB Stakeholders and Industry page</w:t>
      </w:r>
    </w:p>
    <w:p w:rsidR="00C26E15" w:rsidRPr="00C26E15" w:rsidRDefault="00454F80" w:rsidP="00C26E15">
      <w:pPr>
        <w:spacing w:after="0" w:line="240" w:lineRule="auto"/>
        <w:rPr>
          <w:rFonts w:ascii="Verdana" w:hAnsi="Verdana"/>
          <w:sz w:val="24"/>
          <w:szCs w:val="24"/>
        </w:rPr>
      </w:pPr>
      <w:hyperlink r:id="rId8" w:history="1">
        <w:r w:rsidR="00C26E15" w:rsidRPr="00C26E15">
          <w:rPr>
            <w:rStyle w:val="Hyperlink"/>
            <w:rFonts w:ascii="Verdana" w:hAnsi="Verdana"/>
            <w:sz w:val="24"/>
            <w:szCs w:val="24"/>
          </w:rPr>
          <w:t>http://bcwildfire.ca/Industry_Stakeholders/industry/</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ABCFP fire and fuel management guideline (May 2013)</w:t>
      </w:r>
    </w:p>
    <w:p w:rsidR="00C26E15" w:rsidRPr="00C26E15" w:rsidRDefault="00454F80" w:rsidP="00C26E15">
      <w:pPr>
        <w:spacing w:after="0" w:line="240" w:lineRule="auto"/>
        <w:rPr>
          <w:rFonts w:ascii="Verdana" w:hAnsi="Verdana"/>
          <w:sz w:val="24"/>
          <w:szCs w:val="24"/>
        </w:rPr>
      </w:pPr>
      <w:hyperlink r:id="rId9" w:history="1">
        <w:r w:rsidR="00C26E15" w:rsidRPr="00C26E15">
          <w:rPr>
            <w:rStyle w:val="Hyperlink"/>
            <w:rFonts w:ascii="Verdana" w:hAnsi="Verdana"/>
            <w:sz w:val="24"/>
            <w:szCs w:val="24"/>
          </w:rPr>
          <w:t>http://www.abcfp.ca/regulating_the_profession/documents/Fire_Fuel_Management-Interim_Guidelines.pdf</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Professional Accountability Process</w:t>
      </w:r>
    </w:p>
    <w:p w:rsidR="00C26E15" w:rsidRPr="00C26E15" w:rsidRDefault="00454F80" w:rsidP="00C26E15">
      <w:pPr>
        <w:spacing w:after="0" w:line="240" w:lineRule="auto"/>
        <w:rPr>
          <w:rFonts w:ascii="Verdana" w:hAnsi="Verdana"/>
          <w:sz w:val="24"/>
          <w:szCs w:val="24"/>
        </w:rPr>
      </w:pPr>
      <w:hyperlink r:id="rId10" w:history="1">
        <w:r w:rsidR="00C26E15" w:rsidRPr="00C26E15">
          <w:rPr>
            <w:rStyle w:val="Hyperlink"/>
            <w:rFonts w:ascii="Verdana" w:hAnsi="Verdana"/>
            <w:sz w:val="24"/>
            <w:szCs w:val="24"/>
          </w:rPr>
          <w:t>http://www.abcfp.ca/practice_development/continuing_competency/Documents/Non-Discipline_Acc_Process.pdf</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FPB – fire hazard assessment and abatement-special investigation (Interim Report)</w:t>
      </w:r>
    </w:p>
    <w:p w:rsidR="00C26E15" w:rsidRPr="00C26E15" w:rsidRDefault="00454F80" w:rsidP="00C26E15">
      <w:pPr>
        <w:spacing w:after="0" w:line="240" w:lineRule="auto"/>
        <w:rPr>
          <w:rFonts w:ascii="Verdana" w:hAnsi="Verdana"/>
          <w:sz w:val="24"/>
          <w:szCs w:val="24"/>
        </w:rPr>
      </w:pPr>
      <w:hyperlink r:id="rId11" w:history="1">
        <w:r w:rsidR="00C26E15" w:rsidRPr="00C26E15">
          <w:rPr>
            <w:rStyle w:val="Hyperlink"/>
            <w:rFonts w:ascii="Verdana" w:hAnsi="Verdana"/>
            <w:sz w:val="24"/>
            <w:szCs w:val="24"/>
          </w:rPr>
          <w:t>http://www.fpb.gov.bc.ca/Survey_Results_Interim_Report_on_Fire_Hazard_Assessment_and_Abatement.htm?terms=hazard%20assessment</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b/>
          <w:sz w:val="24"/>
          <w:szCs w:val="24"/>
          <w:u w:val="single"/>
        </w:rPr>
      </w:pPr>
      <w:r w:rsidRPr="00C26E15">
        <w:rPr>
          <w:rFonts w:ascii="Verdana" w:hAnsi="Verdana"/>
          <w:b/>
          <w:sz w:val="24"/>
          <w:szCs w:val="24"/>
          <w:u w:val="single"/>
        </w:rPr>
        <w:t>FPB – fire hazard assessment and abatement-special investigation</w:t>
      </w:r>
    </w:p>
    <w:p w:rsidR="00C26E15" w:rsidRPr="00C26E15" w:rsidRDefault="00454F80" w:rsidP="00C26E15">
      <w:pPr>
        <w:spacing w:after="0" w:line="240" w:lineRule="auto"/>
        <w:rPr>
          <w:rFonts w:ascii="Verdana" w:hAnsi="Verdana"/>
          <w:sz w:val="24"/>
          <w:szCs w:val="24"/>
        </w:rPr>
      </w:pPr>
      <w:hyperlink r:id="rId12" w:history="1">
        <w:r w:rsidR="00C26E15" w:rsidRPr="00C26E15">
          <w:rPr>
            <w:rStyle w:val="Hyperlink"/>
            <w:rFonts w:ascii="Verdana" w:hAnsi="Verdana"/>
            <w:sz w:val="24"/>
            <w:szCs w:val="24"/>
          </w:rPr>
          <w:t>http://www.fpb.gov.bc.ca/SIR24_Fire_Hazard_Assessment_and_Abatement.htm?terms=hazard%20assessment</w:t>
        </w:r>
      </w:hyperlink>
    </w:p>
    <w:p w:rsidR="00C26E15" w:rsidRPr="00C26E15" w:rsidRDefault="00C26E15" w:rsidP="00C26E15">
      <w:pPr>
        <w:spacing w:after="0" w:line="240" w:lineRule="auto"/>
        <w:rPr>
          <w:rFonts w:ascii="Verdana" w:hAnsi="Verdana"/>
          <w:b/>
          <w:sz w:val="24"/>
          <w:szCs w:val="24"/>
          <w:u w:val="single"/>
        </w:rPr>
      </w:pPr>
    </w:p>
    <w:p w:rsidR="00C26E15" w:rsidRPr="00C26E15" w:rsidRDefault="00C26E15" w:rsidP="00C26E15">
      <w:pPr>
        <w:spacing w:after="0" w:line="240" w:lineRule="auto"/>
        <w:rPr>
          <w:rFonts w:ascii="Verdana" w:hAnsi="Verdana"/>
          <w:sz w:val="24"/>
          <w:szCs w:val="24"/>
        </w:rPr>
      </w:pPr>
      <w:r w:rsidRPr="00C26E15">
        <w:rPr>
          <w:rFonts w:ascii="Verdana" w:hAnsi="Verdana"/>
          <w:b/>
          <w:sz w:val="24"/>
          <w:szCs w:val="24"/>
          <w:u w:val="single"/>
        </w:rPr>
        <w:t xml:space="preserve">BC Wildfire Act : </w:t>
      </w:r>
      <w:r w:rsidRPr="00C26E15">
        <w:rPr>
          <w:rFonts w:ascii="Verdana" w:hAnsi="Verdana"/>
          <w:sz w:val="24"/>
          <w:szCs w:val="24"/>
          <w:u w:val="single"/>
        </w:rPr>
        <w:t xml:space="preserve">http://www.bclaws.ca/EPLibraries/bclaws_new/document/ID/freeside/00_04031_01 </w:t>
      </w:r>
    </w:p>
    <w:p w:rsidR="00C26E15" w:rsidRPr="00C26E15" w:rsidRDefault="00C26E15" w:rsidP="00C26E15">
      <w:pPr>
        <w:spacing w:after="0" w:line="240" w:lineRule="auto"/>
        <w:rPr>
          <w:rFonts w:ascii="Verdana" w:hAnsi="Verdana"/>
          <w:sz w:val="24"/>
          <w:szCs w:val="24"/>
        </w:rPr>
      </w:pPr>
    </w:p>
    <w:p w:rsidR="00D31363" w:rsidRPr="007217CA" w:rsidRDefault="00C26E15" w:rsidP="00B4262A">
      <w:pPr>
        <w:spacing w:line="240" w:lineRule="auto"/>
        <w:rPr>
          <w:rFonts w:ascii="Verdana" w:hAnsi="Verdana"/>
          <w:sz w:val="24"/>
          <w:szCs w:val="24"/>
        </w:rPr>
      </w:pPr>
      <w:r w:rsidRPr="00C26E15">
        <w:rPr>
          <w:rFonts w:ascii="Verdana" w:hAnsi="Verdana"/>
          <w:b/>
          <w:sz w:val="24"/>
          <w:szCs w:val="24"/>
          <w:u w:val="single"/>
        </w:rPr>
        <w:t>BC Wildfire Regulation:</w:t>
      </w:r>
      <w:r w:rsidRPr="00C26E15">
        <w:rPr>
          <w:rFonts w:ascii="Verdana" w:hAnsi="Verdana"/>
          <w:sz w:val="24"/>
          <w:szCs w:val="24"/>
        </w:rPr>
        <w:t xml:space="preserve">  http://www.bclaws.ca/EPLibraries/bclaws_new/document/ID/freeside/11_38_2005</w:t>
      </w:r>
    </w:p>
    <w:p w:rsidR="00D13A70" w:rsidRPr="007217CA" w:rsidRDefault="00D13A70" w:rsidP="00B4262A">
      <w:pPr>
        <w:spacing w:line="240" w:lineRule="auto"/>
        <w:rPr>
          <w:rFonts w:ascii="Verdana" w:hAnsi="Verdana"/>
          <w:b/>
          <w:sz w:val="24"/>
          <w:szCs w:val="24"/>
          <w:u w:val="single"/>
        </w:rPr>
      </w:pPr>
    </w:p>
    <w:sectPr w:rsidR="00D13A70" w:rsidRPr="007217CA" w:rsidSect="0032722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E4125"/>
    <w:multiLevelType w:val="hybridMultilevel"/>
    <w:tmpl w:val="C9C654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33A0717"/>
    <w:multiLevelType w:val="hybridMultilevel"/>
    <w:tmpl w:val="3A24E7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79C7B8E"/>
    <w:multiLevelType w:val="hybridMultilevel"/>
    <w:tmpl w:val="4E545F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59D75423"/>
    <w:multiLevelType w:val="hybridMultilevel"/>
    <w:tmpl w:val="2B4EA1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52B6"/>
    <w:rsid w:val="00000888"/>
    <w:rsid w:val="000A3FFF"/>
    <w:rsid w:val="000D5840"/>
    <w:rsid w:val="000E110E"/>
    <w:rsid w:val="001415F7"/>
    <w:rsid w:val="001B4A34"/>
    <w:rsid w:val="001F5F70"/>
    <w:rsid w:val="00210118"/>
    <w:rsid w:val="0023225B"/>
    <w:rsid w:val="00327228"/>
    <w:rsid w:val="00330CC2"/>
    <w:rsid w:val="003752B6"/>
    <w:rsid w:val="003C15C9"/>
    <w:rsid w:val="003F0D5C"/>
    <w:rsid w:val="004276A0"/>
    <w:rsid w:val="00436D1B"/>
    <w:rsid w:val="00454F80"/>
    <w:rsid w:val="00465C28"/>
    <w:rsid w:val="00494356"/>
    <w:rsid w:val="004D72F8"/>
    <w:rsid w:val="004F38DA"/>
    <w:rsid w:val="0055284D"/>
    <w:rsid w:val="005A3092"/>
    <w:rsid w:val="00613307"/>
    <w:rsid w:val="0061604C"/>
    <w:rsid w:val="00634187"/>
    <w:rsid w:val="00650B10"/>
    <w:rsid w:val="0066360D"/>
    <w:rsid w:val="00665A60"/>
    <w:rsid w:val="00691587"/>
    <w:rsid w:val="006E57A6"/>
    <w:rsid w:val="00714A76"/>
    <w:rsid w:val="007217CA"/>
    <w:rsid w:val="00734F09"/>
    <w:rsid w:val="007362CD"/>
    <w:rsid w:val="00791C28"/>
    <w:rsid w:val="007B18F9"/>
    <w:rsid w:val="007F568B"/>
    <w:rsid w:val="00912B78"/>
    <w:rsid w:val="009D6F0F"/>
    <w:rsid w:val="00A316DE"/>
    <w:rsid w:val="00A72C09"/>
    <w:rsid w:val="00A7697E"/>
    <w:rsid w:val="00AC286E"/>
    <w:rsid w:val="00AD5D5F"/>
    <w:rsid w:val="00B0286E"/>
    <w:rsid w:val="00B4262A"/>
    <w:rsid w:val="00B448F2"/>
    <w:rsid w:val="00B61ECA"/>
    <w:rsid w:val="00B6255B"/>
    <w:rsid w:val="00B70334"/>
    <w:rsid w:val="00B90623"/>
    <w:rsid w:val="00BD4263"/>
    <w:rsid w:val="00BE27AE"/>
    <w:rsid w:val="00C26E15"/>
    <w:rsid w:val="00C56C95"/>
    <w:rsid w:val="00CA35D0"/>
    <w:rsid w:val="00D13A70"/>
    <w:rsid w:val="00D31363"/>
    <w:rsid w:val="00D33E53"/>
    <w:rsid w:val="00D34F40"/>
    <w:rsid w:val="00D37E2E"/>
    <w:rsid w:val="00D518AD"/>
    <w:rsid w:val="00D719DE"/>
    <w:rsid w:val="00D84DFA"/>
    <w:rsid w:val="00DA26E9"/>
    <w:rsid w:val="00DE674E"/>
    <w:rsid w:val="00E05275"/>
    <w:rsid w:val="00E92D7D"/>
    <w:rsid w:val="00EC205B"/>
    <w:rsid w:val="00EE2956"/>
    <w:rsid w:val="00F250A3"/>
    <w:rsid w:val="00FA0020"/>
    <w:rsid w:val="00FA7076"/>
    <w:rsid w:val="00FD1AB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228"/>
  </w:style>
  <w:style w:type="paragraph" w:styleId="Heading4">
    <w:name w:val="heading 4"/>
    <w:basedOn w:val="Normal"/>
    <w:link w:val="Heading4Char"/>
    <w:uiPriority w:val="9"/>
    <w:qFormat/>
    <w:rsid w:val="003752B6"/>
    <w:pPr>
      <w:spacing w:before="360" w:after="0" w:line="288" w:lineRule="atLeast"/>
      <w:outlineLvl w:val="3"/>
    </w:pPr>
    <w:rPr>
      <w:rFonts w:ascii="Verdana" w:eastAsia="Times New Roman" w:hAnsi="Verdana" w:cs="Times New Roman"/>
      <w:b/>
      <w:bCs/>
      <w:color w:val="000000"/>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752B6"/>
    <w:rPr>
      <w:rFonts w:ascii="Verdana" w:eastAsia="Times New Roman" w:hAnsi="Verdana" w:cs="Times New Roman"/>
      <w:b/>
      <w:bCs/>
      <w:color w:val="000000"/>
      <w:sz w:val="24"/>
      <w:szCs w:val="24"/>
      <w:lang w:eastAsia="en-CA"/>
    </w:rPr>
  </w:style>
  <w:style w:type="paragraph" w:customStyle="1" w:styleId="sub">
    <w:name w:val="sub"/>
    <w:basedOn w:val="Normal"/>
    <w:rsid w:val="003752B6"/>
    <w:pPr>
      <w:spacing w:before="120" w:after="0" w:line="360" w:lineRule="atLeast"/>
      <w:ind w:left="1344"/>
    </w:pPr>
    <w:rPr>
      <w:rFonts w:ascii="Verdana" w:eastAsia="Times New Roman" w:hAnsi="Verdana" w:cs="Times New Roman"/>
      <w:color w:val="000000"/>
      <w:sz w:val="24"/>
      <w:szCs w:val="24"/>
      <w:lang w:eastAsia="en-CA"/>
    </w:rPr>
  </w:style>
  <w:style w:type="paragraph" w:customStyle="1" w:styleId="para">
    <w:name w:val="para"/>
    <w:basedOn w:val="Normal"/>
    <w:rsid w:val="003752B6"/>
    <w:pPr>
      <w:spacing w:before="120" w:after="0" w:line="360" w:lineRule="atLeast"/>
      <w:ind w:left="2640"/>
    </w:pPr>
    <w:rPr>
      <w:rFonts w:ascii="Verdana" w:eastAsia="Times New Roman" w:hAnsi="Verdana" w:cs="Times New Roman"/>
      <w:color w:val="000000"/>
      <w:sz w:val="24"/>
      <w:szCs w:val="24"/>
      <w:lang w:eastAsia="en-CA"/>
    </w:rPr>
  </w:style>
  <w:style w:type="paragraph" w:customStyle="1" w:styleId="sec1">
    <w:name w:val="sec1"/>
    <w:basedOn w:val="Normal"/>
    <w:rsid w:val="003752B6"/>
    <w:pPr>
      <w:spacing w:before="168" w:after="168" w:line="360" w:lineRule="atLeast"/>
      <w:ind w:left="1464" w:hanging="348"/>
    </w:pPr>
    <w:rPr>
      <w:rFonts w:ascii="Verdana" w:eastAsia="Times New Roman" w:hAnsi="Verdana" w:cs="Times New Roman"/>
      <w:color w:val="000000"/>
      <w:sz w:val="24"/>
      <w:szCs w:val="24"/>
      <w:lang w:eastAsia="en-CA"/>
    </w:rPr>
  </w:style>
  <w:style w:type="character" w:styleId="Strong">
    <w:name w:val="Strong"/>
    <w:basedOn w:val="DefaultParagraphFont"/>
    <w:uiPriority w:val="22"/>
    <w:qFormat/>
    <w:rsid w:val="003752B6"/>
    <w:rPr>
      <w:b/>
      <w:bCs/>
    </w:rPr>
  </w:style>
  <w:style w:type="paragraph" w:customStyle="1" w:styleId="division">
    <w:name w:val="division"/>
    <w:basedOn w:val="Normal"/>
    <w:rsid w:val="003752B6"/>
    <w:pPr>
      <w:spacing w:before="240" w:after="168" w:line="360" w:lineRule="atLeast"/>
      <w:jc w:val="center"/>
    </w:pPr>
    <w:rPr>
      <w:rFonts w:ascii="Verdana" w:eastAsia="Times New Roman" w:hAnsi="Verdana" w:cs="Times New Roman"/>
      <w:b/>
      <w:bCs/>
      <w:color w:val="000000"/>
      <w:sz w:val="26"/>
      <w:szCs w:val="26"/>
      <w:lang w:eastAsia="en-CA"/>
    </w:rPr>
  </w:style>
  <w:style w:type="paragraph" w:customStyle="1" w:styleId="subpara">
    <w:name w:val="subpara"/>
    <w:basedOn w:val="Normal"/>
    <w:rsid w:val="003752B6"/>
    <w:pPr>
      <w:spacing w:before="72" w:after="0" w:line="360" w:lineRule="atLeast"/>
      <w:ind w:left="3360"/>
    </w:pPr>
    <w:rPr>
      <w:rFonts w:ascii="Verdana" w:eastAsia="Times New Roman" w:hAnsi="Verdana" w:cs="Times New Roman"/>
      <w:color w:val="000000"/>
      <w:sz w:val="24"/>
      <w:szCs w:val="24"/>
      <w:lang w:eastAsia="en-CA"/>
    </w:rPr>
  </w:style>
  <w:style w:type="paragraph" w:customStyle="1" w:styleId="sec2d1">
    <w:name w:val="sec2d1"/>
    <w:basedOn w:val="Normal"/>
    <w:rsid w:val="003752B6"/>
    <w:pPr>
      <w:spacing w:before="168" w:after="168" w:line="360" w:lineRule="atLeast"/>
      <w:ind w:left="1080" w:hanging="1116"/>
    </w:pPr>
    <w:rPr>
      <w:rFonts w:ascii="Verdana" w:eastAsia="Times New Roman" w:hAnsi="Verdana" w:cs="Times New Roman"/>
      <w:color w:val="000000"/>
      <w:sz w:val="24"/>
      <w:szCs w:val="24"/>
      <w:lang w:eastAsia="en-CA"/>
    </w:rPr>
  </w:style>
  <w:style w:type="paragraph" w:customStyle="1" w:styleId="sec2">
    <w:name w:val="sec2"/>
    <w:basedOn w:val="Normal"/>
    <w:rsid w:val="003752B6"/>
    <w:pPr>
      <w:spacing w:before="168" w:after="168" w:line="360" w:lineRule="atLeast"/>
      <w:ind w:left="1020" w:hanging="708"/>
    </w:pPr>
    <w:rPr>
      <w:rFonts w:ascii="Verdana" w:eastAsia="Times New Roman" w:hAnsi="Verdana" w:cs="Times New Roman"/>
      <w:color w:val="000000"/>
      <w:sz w:val="24"/>
      <w:szCs w:val="24"/>
      <w:lang w:eastAsia="en-CA"/>
    </w:rPr>
  </w:style>
  <w:style w:type="paragraph" w:customStyle="1" w:styleId="hnote">
    <w:name w:val="hnote"/>
    <w:basedOn w:val="Normal"/>
    <w:rsid w:val="003752B6"/>
    <w:pPr>
      <w:spacing w:before="168" w:after="168" w:line="360" w:lineRule="atLeast"/>
      <w:ind w:left="3840"/>
    </w:pPr>
    <w:rPr>
      <w:rFonts w:ascii="Verdana" w:eastAsia="Times New Roman" w:hAnsi="Verdana" w:cs="Times New Roman"/>
      <w:color w:val="000000"/>
      <w:sz w:val="19"/>
      <w:szCs w:val="19"/>
      <w:lang w:eastAsia="en-CA"/>
    </w:rPr>
  </w:style>
  <w:style w:type="character" w:styleId="Emphasis">
    <w:name w:val="Emphasis"/>
    <w:basedOn w:val="DefaultParagraphFont"/>
    <w:uiPriority w:val="20"/>
    <w:qFormat/>
    <w:rsid w:val="003752B6"/>
    <w:rPr>
      <w:i/>
      <w:iCs/>
    </w:rPr>
  </w:style>
  <w:style w:type="paragraph" w:customStyle="1" w:styleId="def">
    <w:name w:val="def"/>
    <w:basedOn w:val="Normal"/>
    <w:rsid w:val="00B61ECA"/>
    <w:pPr>
      <w:spacing w:before="168" w:after="168" w:line="360" w:lineRule="atLeast"/>
      <w:ind w:left="1896"/>
    </w:pPr>
    <w:rPr>
      <w:rFonts w:ascii="Verdana" w:eastAsia="Times New Roman" w:hAnsi="Verdana" w:cs="Times New Roman"/>
      <w:color w:val="000000"/>
      <w:sz w:val="24"/>
      <w:szCs w:val="24"/>
      <w:lang w:eastAsia="en-CA"/>
    </w:rPr>
  </w:style>
  <w:style w:type="paragraph" w:customStyle="1" w:styleId="defsandwich">
    <w:name w:val="defsandwich"/>
    <w:basedOn w:val="Normal"/>
    <w:rsid w:val="00B61ECA"/>
    <w:pPr>
      <w:spacing w:before="120" w:after="0" w:line="360" w:lineRule="atLeast"/>
      <w:ind w:left="1896"/>
    </w:pPr>
    <w:rPr>
      <w:rFonts w:ascii="Verdana" w:eastAsia="Times New Roman" w:hAnsi="Verdana" w:cs="Times New Roman"/>
      <w:color w:val="000000"/>
      <w:sz w:val="24"/>
      <w:szCs w:val="24"/>
      <w:lang w:eastAsia="en-CA"/>
    </w:rPr>
  </w:style>
  <w:style w:type="character" w:styleId="Hyperlink">
    <w:name w:val="Hyperlink"/>
    <w:basedOn w:val="DefaultParagraphFont"/>
    <w:uiPriority w:val="99"/>
    <w:unhideWhenUsed/>
    <w:rsid w:val="00D13A70"/>
    <w:rPr>
      <w:color w:val="0000FF" w:themeColor="hyperlink"/>
      <w:u w:val="single"/>
    </w:rPr>
  </w:style>
  <w:style w:type="paragraph" w:styleId="ListParagraph">
    <w:name w:val="List Paragraph"/>
    <w:basedOn w:val="Normal"/>
    <w:uiPriority w:val="34"/>
    <w:qFormat/>
    <w:rsid w:val="003C15C9"/>
    <w:pPr>
      <w:ind w:left="720"/>
      <w:contextualSpacing/>
    </w:pPr>
  </w:style>
  <w:style w:type="character" w:styleId="FollowedHyperlink">
    <w:name w:val="FollowedHyperlink"/>
    <w:basedOn w:val="DefaultParagraphFont"/>
    <w:uiPriority w:val="99"/>
    <w:semiHidden/>
    <w:unhideWhenUsed/>
    <w:rsid w:val="001B4A34"/>
    <w:rPr>
      <w:color w:val="800080" w:themeColor="followedHyperlink"/>
      <w:u w:val="single"/>
    </w:rPr>
  </w:style>
  <w:style w:type="paragraph" w:styleId="BalloonText">
    <w:name w:val="Balloon Text"/>
    <w:basedOn w:val="Normal"/>
    <w:link w:val="BalloonTextChar"/>
    <w:uiPriority w:val="99"/>
    <w:semiHidden/>
    <w:unhideWhenUsed/>
    <w:rsid w:val="006341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187"/>
    <w:rPr>
      <w:rFonts w:ascii="Tahoma" w:hAnsi="Tahoma" w:cs="Tahoma"/>
      <w:sz w:val="16"/>
      <w:szCs w:val="16"/>
    </w:rPr>
  </w:style>
  <w:style w:type="character" w:styleId="CommentReference">
    <w:name w:val="annotation reference"/>
    <w:basedOn w:val="DefaultParagraphFont"/>
    <w:uiPriority w:val="99"/>
    <w:semiHidden/>
    <w:unhideWhenUsed/>
    <w:rsid w:val="00B4262A"/>
    <w:rPr>
      <w:sz w:val="16"/>
      <w:szCs w:val="16"/>
    </w:rPr>
  </w:style>
  <w:style w:type="paragraph" w:styleId="CommentText">
    <w:name w:val="annotation text"/>
    <w:basedOn w:val="Normal"/>
    <w:link w:val="CommentTextChar"/>
    <w:uiPriority w:val="99"/>
    <w:semiHidden/>
    <w:unhideWhenUsed/>
    <w:rsid w:val="00B4262A"/>
    <w:pPr>
      <w:spacing w:line="240" w:lineRule="auto"/>
    </w:pPr>
    <w:rPr>
      <w:sz w:val="20"/>
      <w:szCs w:val="20"/>
    </w:rPr>
  </w:style>
  <w:style w:type="character" w:customStyle="1" w:styleId="CommentTextChar">
    <w:name w:val="Comment Text Char"/>
    <w:basedOn w:val="DefaultParagraphFont"/>
    <w:link w:val="CommentText"/>
    <w:uiPriority w:val="99"/>
    <w:semiHidden/>
    <w:rsid w:val="00B4262A"/>
    <w:rPr>
      <w:sz w:val="20"/>
      <w:szCs w:val="20"/>
    </w:rPr>
  </w:style>
  <w:style w:type="paragraph" w:styleId="CommentSubject">
    <w:name w:val="annotation subject"/>
    <w:basedOn w:val="CommentText"/>
    <w:next w:val="CommentText"/>
    <w:link w:val="CommentSubjectChar"/>
    <w:uiPriority w:val="99"/>
    <w:semiHidden/>
    <w:unhideWhenUsed/>
    <w:rsid w:val="00B4262A"/>
    <w:rPr>
      <w:b/>
      <w:bCs/>
    </w:rPr>
  </w:style>
  <w:style w:type="character" w:customStyle="1" w:styleId="CommentSubjectChar">
    <w:name w:val="Comment Subject Char"/>
    <w:basedOn w:val="CommentTextChar"/>
    <w:link w:val="CommentSubject"/>
    <w:uiPriority w:val="99"/>
    <w:semiHidden/>
    <w:rsid w:val="00B4262A"/>
    <w:rPr>
      <w:b/>
      <w:bCs/>
    </w:rPr>
  </w:style>
  <w:style w:type="paragraph" w:styleId="Revision">
    <w:name w:val="Revision"/>
    <w:hidden/>
    <w:uiPriority w:val="99"/>
    <w:semiHidden/>
    <w:rsid w:val="00791C28"/>
    <w:pPr>
      <w:spacing w:after="0" w:line="240" w:lineRule="auto"/>
    </w:pPr>
  </w:style>
</w:styles>
</file>

<file path=word/webSettings.xml><?xml version="1.0" encoding="utf-8"?>
<w:webSettings xmlns:r="http://schemas.openxmlformats.org/officeDocument/2006/relationships" xmlns:w="http://schemas.openxmlformats.org/wordprocessingml/2006/main">
  <w:divs>
    <w:div w:id="50352831">
      <w:bodyDiv w:val="1"/>
      <w:marLeft w:val="240"/>
      <w:marRight w:val="720"/>
      <w:marTop w:val="240"/>
      <w:marBottom w:val="0"/>
      <w:divBdr>
        <w:top w:val="none" w:sz="0" w:space="0" w:color="auto"/>
        <w:left w:val="none" w:sz="0" w:space="0" w:color="auto"/>
        <w:bottom w:val="none" w:sz="0" w:space="0" w:color="auto"/>
        <w:right w:val="none" w:sz="0" w:space="0" w:color="auto"/>
      </w:divBdr>
      <w:divsChild>
        <w:div w:id="1079718104">
          <w:marLeft w:val="0"/>
          <w:marRight w:val="0"/>
          <w:marTop w:val="0"/>
          <w:marBottom w:val="0"/>
          <w:divBdr>
            <w:top w:val="none" w:sz="0" w:space="0" w:color="auto"/>
            <w:left w:val="none" w:sz="0" w:space="0" w:color="auto"/>
            <w:bottom w:val="none" w:sz="0" w:space="0" w:color="auto"/>
            <w:right w:val="none" w:sz="0" w:space="0" w:color="auto"/>
          </w:divBdr>
        </w:div>
        <w:div w:id="1669938312">
          <w:marLeft w:val="0"/>
          <w:marRight w:val="0"/>
          <w:marTop w:val="0"/>
          <w:marBottom w:val="0"/>
          <w:divBdr>
            <w:top w:val="none" w:sz="0" w:space="0" w:color="auto"/>
            <w:left w:val="none" w:sz="0" w:space="0" w:color="auto"/>
            <w:bottom w:val="none" w:sz="0" w:space="0" w:color="auto"/>
            <w:right w:val="none" w:sz="0" w:space="0" w:color="auto"/>
          </w:divBdr>
        </w:div>
        <w:div w:id="1312755292">
          <w:marLeft w:val="0"/>
          <w:marRight w:val="0"/>
          <w:marTop w:val="0"/>
          <w:marBottom w:val="0"/>
          <w:divBdr>
            <w:top w:val="none" w:sz="0" w:space="0" w:color="auto"/>
            <w:left w:val="none" w:sz="0" w:space="0" w:color="auto"/>
            <w:bottom w:val="none" w:sz="0" w:space="0" w:color="auto"/>
            <w:right w:val="none" w:sz="0" w:space="0" w:color="auto"/>
          </w:divBdr>
        </w:div>
        <w:div w:id="1613365481">
          <w:marLeft w:val="0"/>
          <w:marRight w:val="0"/>
          <w:marTop w:val="0"/>
          <w:marBottom w:val="0"/>
          <w:divBdr>
            <w:top w:val="none" w:sz="0" w:space="0" w:color="auto"/>
            <w:left w:val="none" w:sz="0" w:space="0" w:color="auto"/>
            <w:bottom w:val="none" w:sz="0" w:space="0" w:color="auto"/>
            <w:right w:val="none" w:sz="0" w:space="0" w:color="auto"/>
          </w:divBdr>
        </w:div>
      </w:divsChild>
    </w:div>
    <w:div w:id="395277482">
      <w:bodyDiv w:val="1"/>
      <w:marLeft w:val="0"/>
      <w:marRight w:val="0"/>
      <w:marTop w:val="0"/>
      <w:marBottom w:val="0"/>
      <w:divBdr>
        <w:top w:val="none" w:sz="0" w:space="0" w:color="auto"/>
        <w:left w:val="none" w:sz="0" w:space="0" w:color="auto"/>
        <w:bottom w:val="none" w:sz="0" w:space="0" w:color="auto"/>
        <w:right w:val="none" w:sz="0" w:space="0" w:color="auto"/>
      </w:divBdr>
      <w:divsChild>
        <w:div w:id="409238794">
          <w:marLeft w:val="0"/>
          <w:marRight w:val="0"/>
          <w:marTop w:val="0"/>
          <w:marBottom w:val="0"/>
          <w:divBdr>
            <w:top w:val="none" w:sz="0" w:space="0" w:color="auto"/>
            <w:left w:val="none" w:sz="0" w:space="0" w:color="auto"/>
            <w:bottom w:val="none" w:sz="0" w:space="0" w:color="auto"/>
            <w:right w:val="none" w:sz="0" w:space="0" w:color="auto"/>
          </w:divBdr>
        </w:div>
      </w:divsChild>
    </w:div>
    <w:div w:id="498157137">
      <w:bodyDiv w:val="1"/>
      <w:marLeft w:val="240"/>
      <w:marRight w:val="720"/>
      <w:marTop w:val="240"/>
      <w:marBottom w:val="0"/>
      <w:divBdr>
        <w:top w:val="none" w:sz="0" w:space="0" w:color="auto"/>
        <w:left w:val="none" w:sz="0" w:space="0" w:color="auto"/>
        <w:bottom w:val="none" w:sz="0" w:space="0" w:color="auto"/>
        <w:right w:val="none" w:sz="0" w:space="0" w:color="auto"/>
      </w:divBdr>
      <w:divsChild>
        <w:div w:id="544298284">
          <w:marLeft w:val="0"/>
          <w:marRight w:val="0"/>
          <w:marTop w:val="0"/>
          <w:marBottom w:val="0"/>
          <w:divBdr>
            <w:top w:val="none" w:sz="0" w:space="0" w:color="auto"/>
            <w:left w:val="none" w:sz="0" w:space="0" w:color="auto"/>
            <w:bottom w:val="none" w:sz="0" w:space="0" w:color="auto"/>
            <w:right w:val="none" w:sz="0" w:space="0" w:color="auto"/>
          </w:divBdr>
        </w:div>
      </w:divsChild>
    </w:div>
    <w:div w:id="604921464">
      <w:bodyDiv w:val="1"/>
      <w:marLeft w:val="240"/>
      <w:marRight w:val="720"/>
      <w:marTop w:val="240"/>
      <w:marBottom w:val="0"/>
      <w:divBdr>
        <w:top w:val="none" w:sz="0" w:space="0" w:color="auto"/>
        <w:left w:val="none" w:sz="0" w:space="0" w:color="auto"/>
        <w:bottom w:val="none" w:sz="0" w:space="0" w:color="auto"/>
        <w:right w:val="none" w:sz="0" w:space="0" w:color="auto"/>
      </w:divBdr>
      <w:divsChild>
        <w:div w:id="1899634501">
          <w:marLeft w:val="0"/>
          <w:marRight w:val="0"/>
          <w:marTop w:val="0"/>
          <w:marBottom w:val="0"/>
          <w:divBdr>
            <w:top w:val="none" w:sz="0" w:space="0" w:color="auto"/>
            <w:left w:val="none" w:sz="0" w:space="0" w:color="auto"/>
            <w:bottom w:val="none" w:sz="0" w:space="0" w:color="auto"/>
            <w:right w:val="none" w:sz="0" w:space="0" w:color="auto"/>
          </w:divBdr>
        </w:div>
      </w:divsChild>
    </w:div>
    <w:div w:id="652683272">
      <w:bodyDiv w:val="1"/>
      <w:marLeft w:val="240"/>
      <w:marRight w:val="720"/>
      <w:marTop w:val="240"/>
      <w:marBottom w:val="0"/>
      <w:divBdr>
        <w:top w:val="none" w:sz="0" w:space="0" w:color="auto"/>
        <w:left w:val="none" w:sz="0" w:space="0" w:color="auto"/>
        <w:bottom w:val="none" w:sz="0" w:space="0" w:color="auto"/>
        <w:right w:val="none" w:sz="0" w:space="0" w:color="auto"/>
      </w:divBdr>
      <w:divsChild>
        <w:div w:id="879244853">
          <w:marLeft w:val="0"/>
          <w:marRight w:val="0"/>
          <w:marTop w:val="0"/>
          <w:marBottom w:val="0"/>
          <w:divBdr>
            <w:top w:val="none" w:sz="0" w:space="0" w:color="auto"/>
            <w:left w:val="none" w:sz="0" w:space="0" w:color="auto"/>
            <w:bottom w:val="none" w:sz="0" w:space="0" w:color="auto"/>
            <w:right w:val="none" w:sz="0" w:space="0" w:color="auto"/>
          </w:divBdr>
        </w:div>
      </w:divsChild>
    </w:div>
    <w:div w:id="831603708">
      <w:bodyDiv w:val="1"/>
      <w:marLeft w:val="0"/>
      <w:marRight w:val="0"/>
      <w:marTop w:val="0"/>
      <w:marBottom w:val="0"/>
      <w:divBdr>
        <w:top w:val="none" w:sz="0" w:space="0" w:color="auto"/>
        <w:left w:val="none" w:sz="0" w:space="0" w:color="auto"/>
        <w:bottom w:val="none" w:sz="0" w:space="0" w:color="auto"/>
        <w:right w:val="none" w:sz="0" w:space="0" w:color="auto"/>
      </w:divBdr>
      <w:divsChild>
        <w:div w:id="1278759753">
          <w:marLeft w:val="0"/>
          <w:marRight w:val="0"/>
          <w:marTop w:val="0"/>
          <w:marBottom w:val="0"/>
          <w:divBdr>
            <w:top w:val="none" w:sz="0" w:space="0" w:color="auto"/>
            <w:left w:val="none" w:sz="0" w:space="0" w:color="auto"/>
            <w:bottom w:val="none" w:sz="0" w:space="0" w:color="auto"/>
            <w:right w:val="none" w:sz="0" w:space="0" w:color="auto"/>
          </w:divBdr>
        </w:div>
      </w:divsChild>
    </w:div>
    <w:div w:id="834761910">
      <w:bodyDiv w:val="1"/>
      <w:marLeft w:val="240"/>
      <w:marRight w:val="720"/>
      <w:marTop w:val="240"/>
      <w:marBottom w:val="0"/>
      <w:divBdr>
        <w:top w:val="none" w:sz="0" w:space="0" w:color="auto"/>
        <w:left w:val="none" w:sz="0" w:space="0" w:color="auto"/>
        <w:bottom w:val="none" w:sz="0" w:space="0" w:color="auto"/>
        <w:right w:val="none" w:sz="0" w:space="0" w:color="auto"/>
      </w:divBdr>
      <w:divsChild>
        <w:div w:id="195582557">
          <w:marLeft w:val="0"/>
          <w:marRight w:val="0"/>
          <w:marTop w:val="0"/>
          <w:marBottom w:val="0"/>
          <w:divBdr>
            <w:top w:val="none" w:sz="0" w:space="0" w:color="auto"/>
            <w:left w:val="none" w:sz="0" w:space="0" w:color="auto"/>
            <w:bottom w:val="none" w:sz="0" w:space="0" w:color="auto"/>
            <w:right w:val="none" w:sz="0" w:space="0" w:color="auto"/>
          </w:divBdr>
        </w:div>
      </w:divsChild>
    </w:div>
    <w:div w:id="1860001279">
      <w:bodyDiv w:val="1"/>
      <w:marLeft w:val="0"/>
      <w:marRight w:val="0"/>
      <w:marTop w:val="0"/>
      <w:marBottom w:val="0"/>
      <w:divBdr>
        <w:top w:val="none" w:sz="0" w:space="0" w:color="auto"/>
        <w:left w:val="none" w:sz="0" w:space="0" w:color="auto"/>
        <w:bottom w:val="none" w:sz="0" w:space="0" w:color="auto"/>
        <w:right w:val="none" w:sz="0" w:space="0" w:color="auto"/>
      </w:divBdr>
      <w:divsChild>
        <w:div w:id="51512316">
          <w:marLeft w:val="0"/>
          <w:marRight w:val="0"/>
          <w:marTop w:val="0"/>
          <w:marBottom w:val="0"/>
          <w:divBdr>
            <w:top w:val="none" w:sz="0" w:space="0" w:color="auto"/>
            <w:left w:val="none" w:sz="0" w:space="0" w:color="auto"/>
            <w:bottom w:val="none" w:sz="0" w:space="0" w:color="auto"/>
            <w:right w:val="none" w:sz="0" w:space="0" w:color="auto"/>
          </w:divBdr>
        </w:div>
      </w:divsChild>
    </w:div>
    <w:div w:id="1909802388">
      <w:bodyDiv w:val="1"/>
      <w:marLeft w:val="240"/>
      <w:marRight w:val="720"/>
      <w:marTop w:val="240"/>
      <w:marBottom w:val="0"/>
      <w:divBdr>
        <w:top w:val="none" w:sz="0" w:space="0" w:color="auto"/>
        <w:left w:val="none" w:sz="0" w:space="0" w:color="auto"/>
        <w:bottom w:val="none" w:sz="0" w:space="0" w:color="auto"/>
        <w:right w:val="none" w:sz="0" w:space="0" w:color="auto"/>
      </w:divBdr>
      <w:divsChild>
        <w:div w:id="511653995">
          <w:marLeft w:val="0"/>
          <w:marRight w:val="0"/>
          <w:marTop w:val="0"/>
          <w:marBottom w:val="0"/>
          <w:divBdr>
            <w:top w:val="none" w:sz="0" w:space="0" w:color="auto"/>
            <w:left w:val="none" w:sz="0" w:space="0" w:color="auto"/>
            <w:bottom w:val="none" w:sz="0" w:space="0" w:color="auto"/>
            <w:right w:val="none" w:sz="0" w:space="0" w:color="auto"/>
          </w:divBdr>
        </w:div>
      </w:divsChild>
    </w:div>
    <w:div w:id="2026514882">
      <w:bodyDiv w:val="1"/>
      <w:marLeft w:val="0"/>
      <w:marRight w:val="0"/>
      <w:marTop w:val="0"/>
      <w:marBottom w:val="0"/>
      <w:divBdr>
        <w:top w:val="none" w:sz="0" w:space="0" w:color="auto"/>
        <w:left w:val="none" w:sz="0" w:space="0" w:color="auto"/>
        <w:bottom w:val="none" w:sz="0" w:space="0" w:color="auto"/>
        <w:right w:val="none" w:sz="0" w:space="0" w:color="auto"/>
      </w:divBdr>
      <w:divsChild>
        <w:div w:id="1125386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wildfire.ca/Industry_Stakeholders/indust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cwildfire.ca/Industry_Stakeholders/industry/Interpretive_WildfireReg.pdf" TargetMode="External"/><Relationship Id="rId12" Type="http://schemas.openxmlformats.org/officeDocument/2006/relationships/hyperlink" Target="http://www.fpb.gov.bc.ca/SIR24_Fire_Hazard_Assessment_and_Abatement.htm?terms=hazard%20assess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cwildfire.ca/Industry_Stakeholders/industry/Assessment_Abatement.htm" TargetMode="External"/><Relationship Id="rId11" Type="http://schemas.openxmlformats.org/officeDocument/2006/relationships/hyperlink" Target="http://www.fpb.gov.bc.ca/Survey_Results_Interim_Report_on_Fire_Hazard_Assessment_and_Abatement.htm?terms=hazard%20assessment" TargetMode="External"/><Relationship Id="rId5" Type="http://schemas.openxmlformats.org/officeDocument/2006/relationships/webSettings" Target="webSettings.xml"/><Relationship Id="rId10" Type="http://schemas.openxmlformats.org/officeDocument/2006/relationships/hyperlink" Target="http://www.abcfp.ca/practice_development/continuing_competency/Documents/Non-Discipline_Acc_Process.pdf" TargetMode="External"/><Relationship Id="rId4" Type="http://schemas.openxmlformats.org/officeDocument/2006/relationships/settings" Target="settings.xml"/><Relationship Id="rId9" Type="http://schemas.openxmlformats.org/officeDocument/2006/relationships/hyperlink" Target="http://www.abcfp.ca/regulating_the_profession/documents/Fire_Fuel_Management-Interim_Guideline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50F6E-6AD4-4A71-89E9-95848D789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2787</Words>
  <Characters>15892</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plaing</dc:creator>
  <cp:lastModifiedBy>carowan</cp:lastModifiedBy>
  <cp:revision>2</cp:revision>
  <cp:lastPrinted>2013-06-05T21:54:00Z</cp:lastPrinted>
  <dcterms:created xsi:type="dcterms:W3CDTF">2013-12-05T16:34:00Z</dcterms:created>
  <dcterms:modified xsi:type="dcterms:W3CDTF">2013-12-05T16:34:00Z</dcterms:modified>
</cp:coreProperties>
</file>